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500" w:before="0" w:line="276"/>
      </w:pPr>
      <w:r>
        <w:rPr>
          <w:rFonts w:ascii="Calibri" w:cs="Calibri" w:eastAsia="Calibri" w:hAnsi="Calibri"/>
          <w:b/>
          <w:bCs/>
          <w:color w:val="5A6672"/>
          <w:sz w:val="16"/>
          <w:szCs w:val="16"/>
        </w:rPr>
        <w:t xml:space="preserve">PUBLIC EXAMPLE — SANITISED</w:t>
      </w:r>
    </w:p>
    <w:p>
      <w:pPr>
        <w:spacing w:after="90" w:before="0" w:line="276"/>
      </w:pPr>
      <w:r>
        <w:rPr>
          <w:rFonts w:ascii="Calibri" w:cs="Calibri" w:eastAsia="Calibri" w:hAnsi="Calibri"/>
          <w:b/>
          <w:bCs/>
          <w:color w:val="0B6E63"/>
          <w:sz w:val="19"/>
          <w:szCs w:val="19"/>
        </w:rPr>
        <w:t xml:space="preserve">EXECUTIVE SUMMARY</w:t>
      </w:r>
    </w:p>
    <w:p>
      <w:pPr>
        <w:spacing w:after="160"/>
      </w:pPr>
      <w:r>
        <w:rPr>
          <w:rFonts w:ascii="Calibri" w:cs="Calibri" w:eastAsia="Calibri" w:hAnsi="Calibri"/>
          <w:b/>
          <w:bCs/>
          <w:color w:val="15222B"/>
          <w:sz w:val="52"/>
          <w:szCs w:val="52"/>
        </w:rPr>
        <w:t xml:space="preserve">Global Corp</w:t>
      </w:r>
    </w:p>
    <w:p>
      <w:pPr>
        <w:spacing w:after="60" w:before="0" w:line="276"/>
      </w:pPr>
      <w:r>
        <w:rPr>
          <w:rFonts w:ascii="Calibri" w:cs="Calibri" w:eastAsia="Calibri" w:hAnsi="Calibri"/>
          <w:color w:val="15222B"/>
          <w:sz w:val="27"/>
          <w:szCs w:val="27"/>
        </w:rPr>
        <w:t xml:space="preserve">NIST Cybersecurity Framework 2.0 and ISO/IEC 27001:2022</w:t>
      </w:r>
    </w:p>
    <w:p>
      <w:pPr>
        <w:spacing w:after="340" w:before="0" w:line="276"/>
      </w:pPr>
      <w:r>
        <w:rPr>
          <w:rFonts w:ascii="Calibri" w:cs="Calibri" w:eastAsia="Calibri" w:hAnsi="Calibri"/>
          <w:color w:val="5A6672"/>
          <w:sz w:val="23"/>
          <w:szCs w:val="23"/>
        </w:rPr>
        <w:t xml:space="preserve">Compliance assessment of the Cisco Meraki cloud-managed network estate</w:t>
      </w:r>
    </w:p>
    <w:p>
      <w:pPr>
        <w:pBdr>
          <w:bottom w:val="single" w:color="D3DBE0" w:sz="6"/>
        </w:pBdr>
        <w:spacing w:after="200" w:before="60"/>
      </w:pPr>
      <w:r>
        <w:rPr>
          <w:sz w:val="2"/>
          <w:szCs w:val="2"/>
        </w:rPr>
        <w:t xml:space="preserve"/>
      </w:r>
    </w:p>
    <w:tbl>
      <w:tblPr>
        <w:tblW w:type="dxa" w:w="7200"/>
        <w:tblBorders>
          <w:top w:val="single" w:color="D3DBE0" w:sz="4"/>
          <w:left w:val="none" w:color="FFFFFF" w:sz="0"/>
          <w:bottom w:val="single" w:color="D3DBE0" w:sz="4"/>
          <w:right w:val="none" w:color="FFFFFF" w:sz="0"/>
          <w:insideH w:val="single" w:color="D3DBE0" w:sz="2"/>
          <w:insideV w:val="none" w:color="FFFFFF" w:sz="0"/>
        </w:tblBorders>
      </w:tblPr>
      <w:tblGrid>
        <w:gridCol w:w="2100"/>
        <w:gridCol w:w="5100"/>
      </w:tblGrid>
      <w:tr>
        <w:tc>
          <w:tcPr>
            <w:tcW w:type="dxa" w:w="2100"/>
            <w:tcMar>
              <w:top w:type="dxa" w:w="90"/>
              <w:left w:type="dxa" w:w="120"/>
              <w:bottom w:type="dxa" w:w="90"/>
              <w:right w:type="dxa" w:w="120"/>
            </w:tcMar>
            <w:vAlign w:val="top"/>
          </w:tcPr>
          <w:p>
            <w:pPr>
              <w:spacing w:after="0" w:line="260"/>
            </w:pPr>
            <w:r>
              <w:rPr>
                <w:rFonts w:ascii="Calibri" w:cs="Calibri" w:eastAsia="Calibri" w:hAnsi="Calibri"/>
                <w:b/>
                <w:bCs/>
                <w:color w:val="5A6672"/>
                <w:sz w:val="18"/>
                <w:szCs w:val="18"/>
              </w:rPr>
              <w:t xml:space="preserve">Assessment date</w:t>
            </w:r>
          </w:p>
        </w:tc>
        <w:tc>
          <w:tcPr>
            <w:tcW w:type="dxa" w:w="5100"/>
            <w:tcMar>
              <w:top w:type="dxa" w:w="90"/>
              <w:left w:type="dxa" w:w="120"/>
              <w:bottom w:type="dxa" w:w="90"/>
              <w:right w:type="dxa" w:w="120"/>
            </w:tcMar>
            <w:vAlign w:val="top"/>
          </w:tcPr>
          <w:p>
            <w:pPr>
              <w:spacing w:after="0" w:line="260"/>
            </w:pPr>
            <w:r>
              <w:rPr>
                <w:rFonts w:ascii="Calibri" w:cs="Calibri" w:eastAsia="Calibri" w:hAnsi="Calibri"/>
                <w:color w:val="25313A"/>
                <w:sz w:val="19"/>
                <w:szCs w:val="19"/>
              </w:rPr>
              <w:t xml:space="preserve">26 July 2026</w:t>
            </w:r>
          </w:p>
        </w:tc>
      </w:tr>
      <w:tr>
        <w:tc>
          <w:tcPr>
            <w:tcW w:type="dxa" w:w="2100"/>
            <w:tcMar>
              <w:top w:type="dxa" w:w="90"/>
              <w:left w:type="dxa" w:w="120"/>
              <w:bottom w:type="dxa" w:w="90"/>
              <w:right w:type="dxa" w:w="120"/>
            </w:tcMar>
            <w:vAlign w:val="top"/>
          </w:tcPr>
          <w:p>
            <w:pPr>
              <w:spacing w:after="0" w:line="260"/>
            </w:pPr>
            <w:r>
              <w:rPr>
                <w:rFonts w:ascii="Calibri" w:cs="Calibri" w:eastAsia="Calibri" w:hAnsi="Calibri"/>
                <w:b/>
                <w:bCs/>
                <w:color w:val="5A6672"/>
                <w:sz w:val="18"/>
                <w:szCs w:val="18"/>
              </w:rPr>
              <w:t xml:space="preserve">Assessed by</w:t>
            </w:r>
          </w:p>
        </w:tc>
        <w:tc>
          <w:tcPr>
            <w:tcW w:type="dxa" w:w="5100"/>
            <w:tcMar>
              <w:top w:type="dxa" w:w="90"/>
              <w:left w:type="dxa" w:w="120"/>
              <w:bottom w:type="dxa" w:w="90"/>
              <w:right w:type="dxa" w:w="120"/>
            </w:tcMar>
            <w:vAlign w:val="top"/>
          </w:tcPr>
          <w:p>
            <w:pPr>
              <w:spacing w:after="0" w:line="260"/>
            </w:pPr>
            <w:r>
              <w:rPr>
                <w:rFonts w:ascii="Calibri" w:cs="Calibri" w:eastAsia="Calibri" w:hAnsi="Calibri"/>
                <w:color w:val="25313A"/>
                <w:sz w:val="19"/>
                <w:szCs w:val="19"/>
              </w:rPr>
              <w:t xml:space="preserve">Objektiv AI — Claude Opus 5 (Anthropic)</w:t>
            </w:r>
          </w:p>
        </w:tc>
      </w:tr>
      <w:tr>
        <w:tc>
          <w:tcPr>
            <w:tcW w:type="dxa" w:w="2100"/>
            <w:tcMar>
              <w:top w:type="dxa" w:w="90"/>
              <w:left w:type="dxa" w:w="120"/>
              <w:bottom w:type="dxa" w:w="90"/>
              <w:right w:type="dxa" w:w="120"/>
            </w:tcMar>
            <w:vAlign w:val="top"/>
          </w:tcPr>
          <w:p>
            <w:pPr>
              <w:spacing w:after="0" w:line="260"/>
            </w:pPr>
            <w:r>
              <w:rPr>
                <w:rFonts w:ascii="Calibri" w:cs="Calibri" w:eastAsia="Calibri" w:hAnsi="Calibri"/>
                <w:b/>
                <w:bCs/>
                <w:color w:val="5A6672"/>
                <w:sz w:val="18"/>
                <w:szCs w:val="18"/>
              </w:rPr>
              <w:t xml:space="preserve">Method</w:t>
            </w:r>
          </w:p>
        </w:tc>
        <w:tc>
          <w:tcPr>
            <w:tcW w:type="dxa" w:w="5100"/>
            <w:tcMar>
              <w:top w:type="dxa" w:w="90"/>
              <w:left w:type="dxa" w:w="120"/>
              <w:bottom w:type="dxa" w:w="90"/>
              <w:right w:type="dxa" w:w="120"/>
            </w:tcMar>
            <w:vAlign w:val="top"/>
          </w:tcPr>
          <w:p>
            <w:pPr>
              <w:spacing w:after="0" w:line="260"/>
            </w:pPr>
            <w:r>
              <w:rPr>
                <w:rFonts w:ascii="Calibri" w:cs="Calibri" w:eastAsia="Calibri" w:hAnsi="Calibri"/>
                <w:color w:val="25313A"/>
                <w:sz w:val="19"/>
                <w:szCs w:val="19"/>
              </w:rPr>
              <w:t xml:space="preserve">Read-only inspection of the Cisco Meraki Dashboard. No configuration was created, modified or saved.</w:t>
            </w:r>
          </w:p>
        </w:tc>
      </w:tr>
      <w:tr>
        <w:tc>
          <w:tcPr>
            <w:tcW w:type="dxa" w:w="2100"/>
            <w:tcMar>
              <w:top w:type="dxa" w:w="90"/>
              <w:left w:type="dxa" w:w="120"/>
              <w:bottom w:type="dxa" w:w="90"/>
              <w:right w:type="dxa" w:w="120"/>
            </w:tcMar>
            <w:vAlign w:val="top"/>
          </w:tcPr>
          <w:p>
            <w:pPr>
              <w:spacing w:after="0" w:line="260"/>
            </w:pPr>
            <w:r>
              <w:rPr>
                <w:rFonts w:ascii="Calibri" w:cs="Calibri" w:eastAsia="Calibri" w:hAnsi="Calibri"/>
                <w:b/>
                <w:bCs/>
                <w:color w:val="5A6672"/>
                <w:sz w:val="18"/>
                <w:szCs w:val="18"/>
              </w:rPr>
              <w:t xml:space="preserve">Scope</w:t>
            </w:r>
          </w:p>
        </w:tc>
        <w:tc>
          <w:tcPr>
            <w:tcW w:type="dxa" w:w="5100"/>
            <w:tcMar>
              <w:top w:type="dxa" w:w="90"/>
              <w:left w:type="dxa" w:w="120"/>
              <w:bottom w:type="dxa" w:w="90"/>
              <w:right w:type="dxa" w:w="120"/>
            </w:tcMar>
            <w:vAlign w:val="top"/>
          </w:tcPr>
          <w:p>
            <w:pPr>
              <w:spacing w:after="0" w:line="260"/>
            </w:pPr>
            <w:r>
              <w:rPr>
                <w:rFonts w:ascii="Calibri" w:cs="Calibri" w:eastAsia="Calibri" w:hAnsi="Calibri"/>
                <w:color w:val="25313A"/>
                <w:sz w:val="19"/>
                <w:szCs w:val="19"/>
              </w:rPr>
              <w:t xml:space="preserve">10 networks across 5 countries · 110 devices (7 offline) · 969 clients · 19.55 TB weekly traffic</w:t>
            </w:r>
          </w:p>
        </w:tc>
      </w:tr>
      <w:tr>
        <w:tc>
          <w:tcPr>
            <w:tcW w:type="dxa" w:w="2100"/>
            <w:tcMar>
              <w:top w:type="dxa" w:w="90"/>
              <w:left w:type="dxa" w:w="120"/>
              <w:bottom w:type="dxa" w:w="90"/>
              <w:right w:type="dxa" w:w="120"/>
            </w:tcMar>
            <w:vAlign w:val="top"/>
          </w:tcPr>
          <w:p>
            <w:pPr>
              <w:spacing w:after="0" w:line="260"/>
            </w:pPr>
            <w:r>
              <w:rPr>
                <w:rFonts w:ascii="Calibri" w:cs="Calibri" w:eastAsia="Calibri" w:hAnsi="Calibri"/>
                <w:b/>
                <w:bCs/>
                <w:color w:val="5A6672"/>
                <w:sz w:val="18"/>
                <w:szCs w:val="18"/>
              </w:rPr>
              <w:t xml:space="preserve">Frameworks</w:t>
            </w:r>
          </w:p>
        </w:tc>
        <w:tc>
          <w:tcPr>
            <w:tcW w:type="dxa" w:w="5100"/>
            <w:tcMar>
              <w:top w:type="dxa" w:w="90"/>
              <w:left w:type="dxa" w:w="120"/>
              <w:bottom w:type="dxa" w:w="90"/>
              <w:right w:type="dxa" w:w="120"/>
            </w:tcMar>
            <w:vAlign w:val="top"/>
          </w:tcPr>
          <w:p>
            <w:pPr>
              <w:spacing w:after="0" w:line="260"/>
            </w:pPr>
            <w:r>
              <w:rPr>
                <w:rFonts w:ascii="Calibri" w:cs="Calibri" w:eastAsia="Calibri" w:hAnsi="Calibri"/>
                <w:color w:val="25313A"/>
                <w:sz w:val="19"/>
                <w:szCs w:val="19"/>
              </w:rPr>
              <w:t xml:space="preserve">NIST CSF 2.0 (NIST CSWP 29, February 2024) · ISO/IEC 27001:2022 Annex A</w:t>
            </w:r>
          </w:p>
        </w:tc>
      </w:tr>
      <w:tr>
        <w:tc>
          <w:tcPr>
            <w:tcW w:type="dxa" w:w="2100"/>
            <w:tcMar>
              <w:top w:type="dxa" w:w="90"/>
              <w:left w:type="dxa" w:w="120"/>
              <w:bottom w:type="dxa" w:w="90"/>
              <w:right w:type="dxa" w:w="120"/>
            </w:tcMar>
            <w:vAlign w:val="top"/>
          </w:tcPr>
          <w:p>
            <w:pPr>
              <w:spacing w:after="0" w:line="260"/>
            </w:pPr>
            <w:r>
              <w:rPr>
                <w:rFonts w:ascii="Calibri" w:cs="Calibri" w:eastAsia="Calibri" w:hAnsi="Calibri"/>
                <w:b/>
                <w:bCs/>
                <w:color w:val="5A6672"/>
                <w:sz w:val="18"/>
                <w:szCs w:val="18"/>
              </w:rPr>
              <w:t xml:space="preserve">Findings</w:t>
            </w:r>
          </w:p>
        </w:tc>
        <w:tc>
          <w:tcPr>
            <w:tcW w:type="dxa" w:w="5100"/>
            <w:tcMar>
              <w:top w:type="dxa" w:w="90"/>
              <w:left w:type="dxa" w:w="120"/>
              <w:bottom w:type="dxa" w:w="90"/>
              <w:right w:type="dxa" w:w="120"/>
            </w:tcMar>
            <w:vAlign w:val="top"/>
          </w:tcPr>
          <w:p>
            <w:pPr>
              <w:spacing w:after="0" w:line="260"/>
            </w:pPr>
            <w:r>
              <w:rPr>
                <w:rFonts w:ascii="Calibri" w:cs="Calibri" w:eastAsia="Calibri" w:hAnsi="Calibri"/>
                <w:color w:val="25313A"/>
                <w:sz w:val="19"/>
                <w:szCs w:val="19"/>
              </w:rPr>
              <w:t xml:space="preserve">3 critical · 5 high · 5 medium · 2 low</w:t>
            </w:r>
          </w:p>
        </w:tc>
      </w:tr>
      <w:tr>
        <w:tc>
          <w:tcPr>
            <w:tcW w:type="dxa" w:w="2100"/>
            <w:tcMar>
              <w:top w:type="dxa" w:w="90"/>
              <w:left w:type="dxa" w:w="120"/>
              <w:bottom w:type="dxa" w:w="90"/>
              <w:right w:type="dxa" w:w="120"/>
            </w:tcMar>
            <w:vAlign w:val="top"/>
          </w:tcPr>
          <w:p>
            <w:pPr>
              <w:spacing w:after="0" w:line="260"/>
            </w:pPr>
            <w:r>
              <w:rPr>
                <w:rFonts w:ascii="Calibri" w:cs="Calibri" w:eastAsia="Calibri" w:hAnsi="Calibri"/>
                <w:b/>
                <w:bCs/>
                <w:color w:val="5A6672"/>
                <w:sz w:val="18"/>
                <w:szCs w:val="18"/>
              </w:rPr>
              <w:t xml:space="preserve">Classification</w:t>
            </w:r>
          </w:p>
        </w:tc>
        <w:tc>
          <w:tcPr>
            <w:tcW w:type="dxa" w:w="5100"/>
            <w:tcMar>
              <w:top w:type="dxa" w:w="90"/>
              <w:left w:type="dxa" w:w="120"/>
              <w:bottom w:type="dxa" w:w="90"/>
              <w:right w:type="dxa" w:w="120"/>
            </w:tcMar>
            <w:vAlign w:val="top"/>
          </w:tcPr>
          <w:p>
            <w:pPr>
              <w:spacing w:after="0" w:line="260"/>
            </w:pPr>
            <w:r>
              <w:rPr>
                <w:rFonts w:ascii="Calibri" w:cs="Calibri" w:eastAsia="Calibri" w:hAnsi="Calibri"/>
                <w:color w:val="25313A"/>
                <w:sz w:val="19"/>
                <w:szCs w:val="19"/>
              </w:rPr>
              <w:t xml:space="preserve">Public. Organisation renamed; all identifiers removed.</w:t>
            </w:r>
          </w:p>
        </w:tc>
      </w:tr>
    </w:tbl>
    <w:p>
      <w:pPr>
        <w:spacing w:after="260" w:before="0" w:line="276"/>
      </w:pPr>
      <w:r>
        <w:rPr>
          <w:rFonts w:ascii="Calibri" w:cs="Calibri" w:eastAsia="Calibri" w:hAnsi="Calibri"/>
          <w:color w:val="25313A"/>
          <w:sz w:val="21"/>
          <w:szCs w:val="21"/>
        </w:rPr>
        <w:t xml:space="preserve"/>
      </w:r>
    </w:p>
    <w:p>
      <w:pPr>
        <w:spacing w:after="140" w:before="0" w:line="276"/>
      </w:pPr>
      <w:r>
        <w:rPr>
          <w:rFonts w:ascii="Calibri" w:cs="Calibri" w:eastAsia="Calibri" w:hAnsi="Calibri"/>
          <w:i/>
          <w:iCs/>
          <w:color w:val="5A6672"/>
          <w:sz w:val="18"/>
          <w:szCs w:val="18"/>
        </w:rPr>
        <w:t xml:space="preserve">This report is machine-generated from open inspection of the organisation's own cloud management platform. Every finding cites the dashboard page it was read from, so any assessor can re-derive it. Figures are accurate as at the assessment date and will drift as the estate changes.</w:t>
      </w:r>
    </w:p>
    <w:p>
      <w:pPr>
        <w:pStyle w:val="Heading1"/>
        <w:pageBreakBefore/>
        <w:spacing w:after="130" w:before="0"/>
      </w:pPr>
      <w:r>
        <w:rPr>
          <w:rFonts w:ascii="Calibri" w:cs="Calibri" w:eastAsia="Calibri" w:hAnsi="Calibri"/>
          <w:b/>
          <w:bCs/>
          <w:color w:val="0B6E63"/>
          <w:sz w:val="30"/>
          <w:szCs w:val="30"/>
        </w:rPr>
        <w:t xml:space="preserve">The short version</w:t>
      </w:r>
    </w:p>
    <w:p>
      <w:pPr>
        <w:spacing w:after="140" w:before="0" w:line="276"/>
      </w:pPr>
      <w:r>
        <w:rPr>
          <w:rFonts w:ascii="Calibri" w:cs="Calibri" w:eastAsia="Calibri" w:hAnsi="Calibri"/>
          <w:color w:val="25313A"/>
          <w:sz w:val="21"/>
          <w:szCs w:val="21"/>
        </w:rPr>
        <w:t xml:space="preserve">Global Corp runs a well-built, well-maintained network. Hardware is current, firmware is up to date across all ten sites, the platform records an unusually complete audit trail, and several deliberate hardening decisions have been made correctly. The estate is not neglected.</w:t>
      </w:r>
    </w:p>
    <w:p>
      <w:pPr>
        <w:spacing w:after="140" w:before="0" w:line="276"/>
      </w:pPr>
      <w:r>
        <w:rPr>
          <w:rFonts w:ascii="Calibri" w:cs="Calibri" w:eastAsia="Calibri" w:hAnsi="Calibri"/>
          <w:color w:val="25313A"/>
          <w:sz w:val="21"/>
          <w:szCs w:val="21"/>
        </w:rPr>
        <w:t xml:space="preserve">The problem is that the security features the organisation already owns are switched off, and administrative access to the whole estate rests on passwords alone.</w:t>
      </w:r>
    </w:p>
    <w:p>
      <w:pPr>
        <w:spacing w:after="140" w:before="0" w:line="276"/>
      </w:pPr>
      <w:r>
        <w:rPr>
          <w:rFonts w:ascii="Calibri" w:cs="Calibri" w:eastAsia="Calibri" w:hAnsi="Calibri"/>
          <w:b w:val="false"/>
          <w:bCs w:val="false"/>
          <w:color w:val="25313A"/>
          <w:sz w:val="21"/>
          <w:szCs w:val="21"/>
        </w:rPr>
        <w:t xml:space="preserve">Two findings would, on their own, be enough for an auditor to raise a major non-conformity: </w:t>
      </w:r>
      <w:r>
        <w:rPr>
          <w:rFonts w:ascii="Calibri" w:cs="Calibri" w:eastAsia="Calibri" w:hAnsi="Calibri"/>
          <w:b/>
          <w:bCs/>
          <w:color w:val="25313A"/>
          <w:sz w:val="21"/>
          <w:szCs w:val="21"/>
        </w:rPr>
        <w:t xml:space="preserve">multi-factor authentication is not enforced and six of fourteen administrators do not use it</w:t>
      </w:r>
      <w:r>
        <w:rPr>
          <w:rFonts w:ascii="Calibri" w:cs="Calibri" w:eastAsia="Calibri" w:hAnsi="Calibri"/>
          <w:b w:val="false"/>
          <w:bCs w:val="false"/>
          <w:color w:val="25313A"/>
          <w:sz w:val="21"/>
          <w:szCs w:val="21"/>
        </w:rPr>
        <w:t xml:space="preserve">, and </w:t>
      </w:r>
      <w:r>
        <w:rPr>
          <w:rFonts w:ascii="Calibri" w:cs="Calibri" w:eastAsia="Calibri" w:hAnsi="Calibri"/>
          <w:b/>
          <w:bCs/>
          <w:color w:val="25313A"/>
          <w:sz w:val="21"/>
          <w:szCs w:val="21"/>
        </w:rPr>
        <w:t xml:space="preserve">the malware protection and intrusion detection on the security appliances are disabled</w:t>
      </w:r>
      <w:r>
        <w:rPr>
          <w:rFonts w:ascii="Calibri" w:cs="Calibri" w:eastAsia="Calibri" w:hAnsi="Calibri"/>
          <w:b w:val="false"/>
          <w:bCs w:val="false"/>
          <w:color w:val="25313A"/>
          <w:sz w:val="21"/>
          <w:szCs w:val="21"/>
        </w:rPr>
        <w:t xml:space="preserve">. Both are configuration changes. Neither requires new spend.</w:t>
      </w:r>
    </w:p>
    <w:p>
      <w:pPr>
        <w:pStyle w:val="Heading2"/>
        <w:spacing w:after="130" w:before="300"/>
      </w:pPr>
      <w:r>
        <w:rPr>
          <w:rFonts w:ascii="Calibri" w:cs="Calibri" w:eastAsia="Calibri" w:hAnsi="Calibri"/>
          <w:b/>
          <w:bCs/>
          <w:color w:val="15222B"/>
          <w:sz w:val="25"/>
          <w:szCs w:val="25"/>
        </w:rPr>
        <w:t xml:space="preserve">What this means in business terms</w:t>
      </w:r>
    </w:p>
    <w:p>
      <w:pPr>
        <w:pStyle w:val="ListParagraph"/>
        <w:numPr>
          <w:ilvl w:val="0"/>
          <w:numId w:val="2"/>
        </w:numPr>
        <w:spacing w:after="90" w:line="268"/>
      </w:pPr>
      <w:r>
        <w:rPr>
          <w:rFonts w:ascii="Calibri" w:cs="Calibri" w:eastAsia="Calibri" w:hAnsi="Calibri"/>
          <w:color w:val="25313A"/>
          <w:sz w:val="21"/>
          <w:szCs w:val="21"/>
        </w:rPr>
        <w:t xml:space="preserve">A single stolen administrator password gives an attacker configuration control of the network in ten countries — firewall rules, VPN tunnels, traffic mirroring. There is no second factor standing in the way for six accounts, no lockout to slow guessing, and no source-address restriction.</w:t>
      </w:r>
    </w:p>
    <w:p>
      <w:pPr>
        <w:pStyle w:val="ListParagraph"/>
        <w:numPr>
          <w:ilvl w:val="0"/>
          <w:numId w:val="2"/>
        </w:numPr>
        <w:spacing w:after="90" w:line="268"/>
      </w:pPr>
      <w:r>
        <w:rPr>
          <w:rFonts w:ascii="Calibri" w:cs="Calibri" w:eastAsia="Calibri" w:hAnsi="Calibri"/>
          <w:color w:val="25313A"/>
          <w:sz w:val="21"/>
          <w:szCs w:val="21"/>
        </w:rPr>
        <w:t xml:space="preserve">If that happened, nothing would raise an alarm. Every alert in the sample network is switched off, including "configuration settings are changed". Detection currently depends on somebody choosing to read a log.</w:t>
      </w:r>
    </w:p>
    <w:p>
      <w:pPr>
        <w:pStyle w:val="ListParagraph"/>
        <w:numPr>
          <w:ilvl w:val="0"/>
          <w:numId w:val="2"/>
        </w:numPr>
        <w:spacing w:after="90" w:line="268"/>
      </w:pPr>
      <w:r>
        <w:rPr>
          <w:rFonts w:ascii="Calibri" w:cs="Calibri" w:eastAsia="Calibri" w:hAnsi="Calibri"/>
          <w:color w:val="25313A"/>
          <w:sz w:val="21"/>
          <w:szCs w:val="21"/>
        </w:rPr>
        <w:t xml:space="preserve">More than half of all administrative accounts belong to five external suppliers, one of them through a shared mailbox used from two countries. Actions taken through it cannot be attributed to a person.</w:t>
      </w:r>
    </w:p>
    <w:p>
      <w:pPr>
        <w:pStyle w:val="ListParagraph"/>
        <w:numPr>
          <w:ilvl w:val="0"/>
          <w:numId w:val="2"/>
        </w:numPr>
        <w:spacing w:after="90" w:line="268"/>
      </w:pPr>
      <w:r>
        <w:rPr>
          <w:rFonts w:ascii="Calibri" w:cs="Calibri" w:eastAsia="Calibri" w:hAnsi="Calibri"/>
          <w:color w:val="25313A"/>
          <w:sz w:val="21"/>
          <w:szCs w:val="21"/>
        </w:rPr>
        <w:t xml:space="preserve">Cyber insurance renewals and customer security questionnaires now routinely ask, in writing, whether MFA is enforced on network infrastructure administration. Today the honest answer is no.</w:t>
      </w:r>
    </w:p>
    <w:p>
      <w:pPr>
        <w:pStyle w:val="Heading1"/>
        <w:spacing w:after="130" w:before="380"/>
      </w:pPr>
      <w:r>
        <w:rPr>
          <w:rFonts w:ascii="Calibri" w:cs="Calibri" w:eastAsia="Calibri" w:hAnsi="Calibri"/>
          <w:b/>
          <w:bCs/>
          <w:color w:val="0B6E63"/>
          <w:sz w:val="30"/>
          <w:szCs w:val="30"/>
        </w:rPr>
        <w:t xml:space="preserve">What is already compliant</w:t>
      </w:r>
    </w:p>
    <w:p>
      <w:pPr>
        <w:spacing w:after="140" w:before="0" w:line="276"/>
      </w:pPr>
      <w:r>
        <w:rPr>
          <w:rFonts w:ascii="Calibri" w:cs="Calibri" w:eastAsia="Calibri" w:hAnsi="Calibri"/>
          <w:color w:val="25313A"/>
          <w:sz w:val="21"/>
          <w:szCs w:val="21"/>
        </w:rPr>
        <w:t xml:space="preserve">These are real strengths, not consolation. They are also the reason the remediation estimate is measured in days rather than months — the foundations are sound.</w:t>
      </w:r>
    </w:p>
    <w:p>
      <w:pPr>
        <w:pStyle w:val="ListParagraph"/>
        <w:numPr>
          <w:ilvl w:val="0"/>
          <w:numId w:val="2"/>
        </w:numPr>
        <w:spacing w:after="90" w:line="268"/>
      </w:pPr>
      <w:r>
        <w:rPr>
          <w:rFonts w:ascii="Calibri" w:cs="Calibri" w:eastAsia="Calibri" w:hAnsi="Calibri"/>
          <w:color w:val="25313A"/>
          <w:sz w:val="21"/>
          <w:szCs w:val="21"/>
        </w:rPr>
        <w:t xml:space="preserve">A complete and attributable configuration audit trail exists. 2,495 configuration changes are retained back to 6 August 2025, each with administrator, timestamp, network, setting, old value and new value.</w:t>
      </w:r>
    </w:p>
    <w:p>
      <w:pPr>
        <w:pStyle w:val="ListParagraph"/>
        <w:numPr>
          <w:ilvl w:val="0"/>
          <w:numId w:val="2"/>
        </w:numPr>
        <w:spacing w:after="90" w:line="268"/>
      </w:pPr>
      <w:r>
        <w:rPr>
          <w:rFonts w:ascii="Calibri" w:cs="Calibri" w:eastAsia="Calibri" w:hAnsi="Calibri"/>
          <w:color w:val="25313A"/>
          <w:sz w:val="21"/>
          <w:szCs w:val="21"/>
        </w:rPr>
        <w:t xml:space="preserve">Authentication events are logged in detail, including second-factor outcomes. 1,406 login attempts are retained with source IP address, geolocation, event type and outcome, and second-factor failures are recorded distinctly from password failures.</w:t>
      </w:r>
    </w:p>
    <w:p>
      <w:pPr>
        <w:pStyle w:val="ListParagraph"/>
        <w:numPr>
          <w:ilvl w:val="0"/>
          <w:numId w:val="2"/>
        </w:numPr>
        <w:spacing w:after="90" w:line="268"/>
      </w:pPr>
      <w:r>
        <w:rPr>
          <w:rFonts w:ascii="Calibri" w:cs="Calibri" w:eastAsia="Calibri" w:hAnsi="Calibri"/>
          <w:color w:val="25313A"/>
          <w:sz w:val="21"/>
          <w:szCs w:val="21"/>
        </w:rPr>
        <w:t xml:space="preserve">EU data residency. Organisation data is hosted in Europe, as stated by the platform.</w:t>
      </w:r>
    </w:p>
    <w:p>
      <w:pPr>
        <w:pStyle w:val="ListParagraph"/>
        <w:numPr>
          <w:ilvl w:val="0"/>
          <w:numId w:val="2"/>
        </w:numPr>
        <w:spacing w:after="90" w:line="268"/>
      </w:pPr>
      <w:r>
        <w:rPr>
          <w:rFonts w:ascii="Calibri" w:cs="Calibri" w:eastAsia="Calibri" w:hAnsi="Calibri"/>
          <w:color w:val="25313A"/>
          <w:sz w:val="21"/>
          <w:szCs w:val="21"/>
        </w:rPr>
        <w:t xml:space="preserve">Legacy SNMP is fully disabled. Both SNMP v2c and SNMP v3 are disabled at organisation level.</w:t>
      </w:r>
    </w:p>
    <w:p>
      <w:pPr>
        <w:pStyle w:val="ListParagraph"/>
        <w:numPr>
          <w:ilvl w:val="0"/>
          <w:numId w:val="2"/>
        </w:numPr>
        <w:spacing w:after="90" w:line="268"/>
      </w:pPr>
      <w:r>
        <w:rPr>
          <w:rFonts w:ascii="Calibri" w:cs="Calibri" w:eastAsia="Calibri" w:hAnsi="Calibri"/>
          <w:color w:val="25313A"/>
          <w:sz w:val="21"/>
          <w:szCs w:val="21"/>
        </w:rPr>
        <w:t xml:space="preserve">Cloud CLI is restricted to read-only. The IOS-XE Cloud CLI is set to "Only read-only access" rather than configuration access, so the terminal cannot be used to change device configuration.</w:t>
      </w:r>
    </w:p>
    <w:p>
      <w:pPr>
        <w:pStyle w:val="ListParagraph"/>
        <w:numPr>
          <w:ilvl w:val="0"/>
          <w:numId w:val="2"/>
        </w:numPr>
        <w:spacing w:after="90" w:line="268"/>
      </w:pPr>
      <w:r>
        <w:rPr>
          <w:rFonts w:ascii="Calibri" w:cs="Calibri" w:eastAsia="Calibri" w:hAnsi="Calibri"/>
          <w:color w:val="25313A"/>
          <w:sz w:val="21"/>
          <w:szCs w:val="21"/>
        </w:rPr>
        <w:t xml:space="preserve">Privacy-sensitive features are disabled by default on new networks. "Create new networks with privacy-sensitive features disabled by default" is enabled, so a new site does not silently begin collecting analytics data.</w:t>
      </w:r>
    </w:p>
    <w:p>
      <w:pPr>
        <w:spacing w:after="140" w:before="0" w:line="276"/>
      </w:pPr>
      <w:r>
        <w:rPr>
          <w:rFonts w:ascii="Calibri" w:cs="Calibri" w:eastAsia="Calibri" w:hAnsi="Calibri"/>
          <w:i/>
          <w:iCs/>
          <w:color w:val="5A6672"/>
          <w:sz w:val="19"/>
          <w:szCs w:val="19"/>
        </w:rPr>
        <w:t xml:space="preserve">A further 3 confirmed strengths are listed in section 4 of the full report.</w:t>
      </w:r>
    </w:p>
    <w:p>
      <w:pPr>
        <w:pStyle w:val="Heading1"/>
        <w:spacing w:after="130" w:before="380"/>
      </w:pPr>
      <w:r>
        <w:rPr>
          <w:rFonts w:ascii="Calibri" w:cs="Calibri" w:eastAsia="Calibri" w:hAnsi="Calibri"/>
          <w:b/>
          <w:bCs/>
          <w:color w:val="0B6E63"/>
          <w:sz w:val="30"/>
          <w:szCs w:val="30"/>
        </w:rPr>
        <w:t xml:space="preserve">What needs to be fixed</w:t>
      </w:r>
    </w:p>
    <w:p>
      <w:pPr>
        <w:spacing w:after="140" w:before="0" w:line="276"/>
      </w:pPr>
      <w:r>
        <w:rPr>
          <w:rFonts w:ascii="Calibri" w:cs="Calibri" w:eastAsia="Calibri" w:hAnsi="Calibri"/>
          <w:color w:val="25313A"/>
          <w:sz w:val="21"/>
          <w:szCs w:val="21"/>
        </w:rPr>
        <w:t xml:space="preserve">Ordered by what an attacker would use first, not by effort.</w:t>
      </w:r>
    </w:p>
    <w:p>
      <w:pPr>
        <w:spacing w:after="60" w:before="0" w:line="276"/>
      </w:pPr>
      <w:r>
        <w:rPr>
          <w:rFonts w:ascii="Calibri" w:cs="Calibri" w:eastAsia="Calibri" w:hAnsi="Calibri"/>
          <w:color w:val="25313A"/>
          <w:sz w:val="21"/>
          <w:szCs w:val="21"/>
        </w:rPr>
        <w:t xml:space="preserve"/>
      </w:r>
    </w:p>
    <w:tbl>
      <w:tblPr>
        <w:tblW w:type="dxa" w:w="7200"/>
        <w:tblBorders>
          <w:top w:val="single" w:color="D3DBE0" w:sz="4"/>
          <w:left w:val="none" w:color="FFFFFF" w:sz="0"/>
          <w:bottom w:val="single" w:color="D3DBE0" w:sz="4"/>
          <w:right w:val="none" w:color="FFFFFF" w:sz="0"/>
          <w:insideH w:val="single" w:color="D3DBE0" w:sz="2"/>
          <w:insideV w:val="none" w:color="FFFFFF" w:sz="0"/>
        </w:tblBorders>
      </w:tblPr>
      <w:tblGrid>
        <w:gridCol w:w="700"/>
        <w:gridCol w:w="4300"/>
        <w:gridCol w:w="1150"/>
        <w:gridCol w:w="1050"/>
      </w:tblGrid>
      <w:tr>
        <w:trPr>
          <w:tblHeader/>
        </w:trPr>
        <w:tc>
          <w:tcPr>
            <w:tcW w:type="dxa" w:w="700"/>
            <w:shd w:fill="F2F5F7" w:color="auto" w:val="clear"/>
            <w:tcMar>
              <w:top w:type="dxa" w:w="90"/>
              <w:left w:type="dxa" w:w="120"/>
              <w:bottom w:type="dxa" w:w="90"/>
              <w:right w:type="dxa" w:w="120"/>
            </w:tcMar>
            <w:vAlign w:val="top"/>
          </w:tcPr>
          <w:p>
            <w:pPr>
              <w:spacing w:after="0" w:line="260"/>
            </w:pPr>
            <w:r>
              <w:rPr>
                <w:rFonts w:ascii="Calibri" w:cs="Calibri" w:eastAsia="Calibri" w:hAnsi="Calibri"/>
                <w:b/>
                <w:bCs/>
                <w:color w:val="5A6672"/>
                <w:sz w:val="18"/>
                <w:szCs w:val="18"/>
              </w:rPr>
              <w:t xml:space="preserve">ID</w:t>
            </w:r>
          </w:p>
        </w:tc>
        <w:tc>
          <w:tcPr>
            <w:tcW w:type="dxa" w:w="4300"/>
            <w:shd w:fill="F2F5F7" w:color="auto" w:val="clear"/>
            <w:tcMar>
              <w:top w:type="dxa" w:w="90"/>
              <w:left w:type="dxa" w:w="120"/>
              <w:bottom w:type="dxa" w:w="90"/>
              <w:right w:type="dxa" w:w="120"/>
            </w:tcMar>
            <w:vAlign w:val="top"/>
          </w:tcPr>
          <w:p>
            <w:pPr>
              <w:spacing w:after="0" w:line="260"/>
            </w:pPr>
            <w:r>
              <w:rPr>
                <w:rFonts w:ascii="Calibri" w:cs="Calibri" w:eastAsia="Calibri" w:hAnsi="Calibri"/>
                <w:b/>
                <w:bCs/>
                <w:color w:val="5A6672"/>
                <w:sz w:val="18"/>
                <w:szCs w:val="18"/>
              </w:rPr>
              <w:t xml:space="preserve">Finding</w:t>
            </w:r>
          </w:p>
        </w:tc>
        <w:tc>
          <w:tcPr>
            <w:tcW w:type="dxa" w:w="1150"/>
            <w:shd w:fill="F2F5F7" w:color="auto" w:val="clear"/>
            <w:tcMar>
              <w:top w:type="dxa" w:w="90"/>
              <w:left w:type="dxa" w:w="120"/>
              <w:bottom w:type="dxa" w:w="90"/>
              <w:right w:type="dxa" w:w="120"/>
            </w:tcMar>
            <w:vAlign w:val="top"/>
          </w:tcPr>
          <w:p>
            <w:pPr>
              <w:spacing w:after="0" w:line="260"/>
            </w:pPr>
            <w:r>
              <w:rPr>
                <w:rFonts w:ascii="Calibri" w:cs="Calibri" w:eastAsia="Calibri" w:hAnsi="Calibri"/>
                <w:b/>
                <w:bCs/>
                <w:color w:val="5A6672"/>
                <w:sz w:val="18"/>
                <w:szCs w:val="18"/>
              </w:rPr>
              <w:t xml:space="preserve">Severity</w:t>
            </w:r>
          </w:p>
        </w:tc>
        <w:tc>
          <w:tcPr>
            <w:tcW w:type="dxa" w:w="1050"/>
            <w:shd w:fill="F2F5F7" w:color="auto" w:val="clear"/>
            <w:tcMar>
              <w:top w:type="dxa" w:w="90"/>
              <w:left w:type="dxa" w:w="120"/>
              <w:bottom w:type="dxa" w:w="90"/>
              <w:right w:type="dxa" w:w="120"/>
            </w:tcMar>
            <w:vAlign w:val="top"/>
          </w:tcPr>
          <w:p>
            <w:pPr>
              <w:spacing w:after="0" w:line="260"/>
            </w:pPr>
            <w:r>
              <w:rPr>
                <w:rFonts w:ascii="Calibri" w:cs="Calibri" w:eastAsia="Calibri" w:hAnsi="Calibri"/>
                <w:b/>
                <w:bCs/>
                <w:color w:val="5A6672"/>
                <w:sz w:val="18"/>
                <w:szCs w:val="18"/>
              </w:rPr>
              <w:t xml:space="preserve">Effort</w:t>
            </w:r>
          </w:p>
        </w:tc>
      </w:tr>
      <w:tr>
        <w:tc>
          <w:tcPr>
            <w:tcW w:type="dxa" w:w="700"/>
            <w:tcMar>
              <w:top w:type="dxa" w:w="90"/>
              <w:left w:type="dxa" w:w="120"/>
              <w:bottom w:type="dxa" w:w="90"/>
              <w:right w:type="dxa" w:w="120"/>
            </w:tcMar>
            <w:vAlign w:val="top"/>
          </w:tcPr>
          <w:p>
            <w:pPr>
              <w:spacing w:after="0" w:line="260"/>
            </w:pPr>
            <w:r>
              <w:rPr>
                <w:rFonts w:ascii="Calibri" w:cs="Calibri" w:eastAsia="Calibri" w:hAnsi="Calibri"/>
                <w:b/>
                <w:bCs/>
                <w:color w:val="25313A"/>
                <w:sz w:val="18"/>
                <w:szCs w:val="18"/>
              </w:rPr>
              <w:t xml:space="preserve">F-01</w:t>
            </w:r>
          </w:p>
        </w:tc>
        <w:tc>
          <w:tcPr>
            <w:tcW w:type="dxa" w:w="4300"/>
            <w:tcMar>
              <w:top w:type="dxa" w:w="90"/>
              <w:left w:type="dxa" w:w="120"/>
              <w:bottom w:type="dxa" w:w="90"/>
              <w:right w:type="dxa" w:w="120"/>
            </w:tcMar>
            <w:vAlign w:val="top"/>
          </w:tcPr>
          <w:p>
            <w:pPr>
              <w:spacing w:after="0" w:line="260"/>
            </w:pPr>
            <w:r>
              <w:rPr>
                <w:rFonts w:ascii="Calibri" w:cs="Calibri" w:eastAsia="Calibri" w:hAnsi="Calibri"/>
                <w:color w:val="25313A"/>
                <w:sz w:val="18"/>
                <w:szCs w:val="18"/>
              </w:rPr>
              <w:t xml:space="preserve">Multi-factor authentication is not enforced, and six of fourteen administrators do not use it</w:t>
            </w:r>
          </w:p>
        </w:tc>
        <w:tc>
          <w:tcPr>
            <w:tcW w:type="dxa" w:w="1150"/>
            <w:tcMar>
              <w:top w:type="dxa" w:w="90"/>
              <w:left w:type="dxa" w:w="120"/>
              <w:bottom w:type="dxa" w:w="90"/>
              <w:right w:type="dxa" w:w="120"/>
            </w:tcMar>
            <w:vAlign w:val="top"/>
          </w:tcPr>
          <w:p>
            <w:pPr>
              <w:spacing w:after="0" w:line="260"/>
            </w:pPr>
            <w:r>
              <w:rPr>
                <w:rFonts w:ascii="Calibri" w:cs="Calibri" w:eastAsia="Calibri" w:hAnsi="Calibri"/>
                <w:b/>
                <w:bCs/>
                <w:color w:val="9B1C1C"/>
                <w:sz w:val="18"/>
                <w:szCs w:val="18"/>
              </w:rPr>
              <w:t xml:space="preserve">Critical</w:t>
            </w:r>
          </w:p>
        </w:tc>
        <w:tc>
          <w:tcPr>
            <w:tcW w:type="dxa" w:w="1050"/>
            <w:tcMar>
              <w:top w:type="dxa" w:w="90"/>
              <w:left w:type="dxa" w:w="120"/>
              <w:bottom w:type="dxa" w:w="90"/>
              <w:right w:type="dxa" w:w="120"/>
            </w:tcMar>
            <w:vAlign w:val="top"/>
          </w:tcPr>
          <w:p>
            <w:pPr>
              <w:spacing w:after="0" w:line="260"/>
            </w:pPr>
            <w:r>
              <w:rPr>
                <w:rFonts w:ascii="Calibri" w:cs="Calibri" w:eastAsia="Calibri" w:hAnsi="Calibri"/>
                <w:color w:val="5A6672"/>
                <w:sz w:val="17"/>
                <w:szCs w:val="17"/>
              </w:rPr>
              <w:t xml:space="preserve">15 minutes of configuration</w:t>
            </w:r>
          </w:p>
        </w:tc>
      </w:tr>
      <w:tr>
        <w:tc>
          <w:tcPr>
            <w:tcW w:type="dxa" w:w="700"/>
            <w:tcMar>
              <w:top w:type="dxa" w:w="90"/>
              <w:left w:type="dxa" w:w="120"/>
              <w:bottom w:type="dxa" w:w="90"/>
              <w:right w:type="dxa" w:w="120"/>
            </w:tcMar>
            <w:vAlign w:val="top"/>
          </w:tcPr>
          <w:p>
            <w:pPr>
              <w:spacing w:after="0" w:line="260"/>
            </w:pPr>
            <w:r>
              <w:rPr>
                <w:rFonts w:ascii="Calibri" w:cs="Calibri" w:eastAsia="Calibri" w:hAnsi="Calibri"/>
                <w:b/>
                <w:bCs/>
                <w:color w:val="25313A"/>
                <w:sz w:val="18"/>
                <w:szCs w:val="18"/>
              </w:rPr>
              <w:t xml:space="preserve">F-02</w:t>
            </w:r>
          </w:p>
        </w:tc>
        <w:tc>
          <w:tcPr>
            <w:tcW w:type="dxa" w:w="4300"/>
            <w:tcMar>
              <w:top w:type="dxa" w:w="90"/>
              <w:left w:type="dxa" w:w="120"/>
              <w:bottom w:type="dxa" w:w="90"/>
              <w:right w:type="dxa" w:w="120"/>
            </w:tcMar>
            <w:vAlign w:val="top"/>
          </w:tcPr>
          <w:p>
            <w:pPr>
              <w:spacing w:after="0" w:line="260"/>
            </w:pPr>
            <w:r>
              <w:rPr>
                <w:rFonts w:ascii="Calibri" w:cs="Calibri" w:eastAsia="Calibri" w:hAnsi="Calibri"/>
                <w:color w:val="25313A"/>
                <w:sz w:val="18"/>
                <w:szCs w:val="18"/>
              </w:rPr>
              <w:t xml:space="preserve">A personal consumer email address holds full organisation-wide administrative access and has been dormant for over two years</w:t>
            </w:r>
          </w:p>
        </w:tc>
        <w:tc>
          <w:tcPr>
            <w:tcW w:type="dxa" w:w="1150"/>
            <w:tcMar>
              <w:top w:type="dxa" w:w="90"/>
              <w:left w:type="dxa" w:w="120"/>
              <w:bottom w:type="dxa" w:w="90"/>
              <w:right w:type="dxa" w:w="120"/>
            </w:tcMar>
            <w:vAlign w:val="top"/>
          </w:tcPr>
          <w:p>
            <w:pPr>
              <w:spacing w:after="0" w:line="260"/>
            </w:pPr>
            <w:r>
              <w:rPr>
                <w:rFonts w:ascii="Calibri" w:cs="Calibri" w:eastAsia="Calibri" w:hAnsi="Calibri"/>
                <w:b/>
                <w:bCs/>
                <w:color w:val="9B1C1C"/>
                <w:sz w:val="18"/>
                <w:szCs w:val="18"/>
              </w:rPr>
              <w:t xml:space="preserve">Critical</w:t>
            </w:r>
          </w:p>
        </w:tc>
        <w:tc>
          <w:tcPr>
            <w:tcW w:type="dxa" w:w="1050"/>
            <w:tcMar>
              <w:top w:type="dxa" w:w="90"/>
              <w:left w:type="dxa" w:w="120"/>
              <w:bottom w:type="dxa" w:w="90"/>
              <w:right w:type="dxa" w:w="120"/>
            </w:tcMar>
            <w:vAlign w:val="top"/>
          </w:tcPr>
          <w:p>
            <w:pPr>
              <w:spacing w:after="0" w:line="260"/>
            </w:pPr>
            <w:r>
              <w:rPr>
                <w:rFonts w:ascii="Calibri" w:cs="Calibri" w:eastAsia="Calibri" w:hAnsi="Calibri"/>
                <w:color w:val="5A6672"/>
                <w:sz w:val="17"/>
                <w:szCs w:val="17"/>
              </w:rPr>
              <w:t xml:space="preserve">2 minutes</w:t>
            </w:r>
          </w:p>
        </w:tc>
      </w:tr>
      <w:tr>
        <w:tc>
          <w:tcPr>
            <w:tcW w:type="dxa" w:w="700"/>
            <w:tcMar>
              <w:top w:type="dxa" w:w="90"/>
              <w:left w:type="dxa" w:w="120"/>
              <w:bottom w:type="dxa" w:w="90"/>
              <w:right w:type="dxa" w:w="120"/>
            </w:tcMar>
            <w:vAlign w:val="top"/>
          </w:tcPr>
          <w:p>
            <w:pPr>
              <w:spacing w:after="0" w:line="260"/>
            </w:pPr>
            <w:r>
              <w:rPr>
                <w:rFonts w:ascii="Calibri" w:cs="Calibri" w:eastAsia="Calibri" w:hAnsi="Calibri"/>
                <w:b/>
                <w:bCs/>
                <w:color w:val="25313A"/>
                <w:sz w:val="18"/>
                <w:szCs w:val="18"/>
              </w:rPr>
              <w:t xml:space="preserve">F-03</w:t>
            </w:r>
          </w:p>
        </w:tc>
        <w:tc>
          <w:tcPr>
            <w:tcW w:type="dxa" w:w="4300"/>
            <w:tcMar>
              <w:top w:type="dxa" w:w="90"/>
              <w:left w:type="dxa" w:w="120"/>
              <w:bottom w:type="dxa" w:w="90"/>
              <w:right w:type="dxa" w:w="120"/>
            </w:tcMar>
            <w:vAlign w:val="top"/>
          </w:tcPr>
          <w:p>
            <w:pPr>
              <w:spacing w:after="0" w:line="260"/>
            </w:pPr>
            <w:r>
              <w:rPr>
                <w:rFonts w:ascii="Calibri" w:cs="Calibri" w:eastAsia="Calibri" w:hAnsi="Calibri"/>
                <w:color w:val="25313A"/>
                <w:sz w:val="18"/>
                <w:szCs w:val="18"/>
              </w:rPr>
              <w:t xml:space="preserve">Malware protection and intrusion detection are switched off on the security appliances</w:t>
            </w:r>
          </w:p>
        </w:tc>
        <w:tc>
          <w:tcPr>
            <w:tcW w:type="dxa" w:w="1150"/>
            <w:tcMar>
              <w:top w:type="dxa" w:w="90"/>
              <w:left w:type="dxa" w:w="120"/>
              <w:bottom w:type="dxa" w:w="90"/>
              <w:right w:type="dxa" w:w="120"/>
            </w:tcMar>
            <w:vAlign w:val="top"/>
          </w:tcPr>
          <w:p>
            <w:pPr>
              <w:spacing w:after="0" w:line="260"/>
            </w:pPr>
            <w:r>
              <w:rPr>
                <w:rFonts w:ascii="Calibri" w:cs="Calibri" w:eastAsia="Calibri" w:hAnsi="Calibri"/>
                <w:b/>
                <w:bCs/>
                <w:color w:val="9B1C1C"/>
                <w:sz w:val="18"/>
                <w:szCs w:val="18"/>
              </w:rPr>
              <w:t xml:space="preserve">Critical</w:t>
            </w:r>
          </w:p>
        </w:tc>
        <w:tc>
          <w:tcPr>
            <w:tcW w:type="dxa" w:w="1050"/>
            <w:tcMar>
              <w:top w:type="dxa" w:w="90"/>
              <w:left w:type="dxa" w:w="120"/>
              <w:bottom w:type="dxa" w:w="90"/>
              <w:right w:type="dxa" w:w="120"/>
            </w:tcMar>
            <w:vAlign w:val="top"/>
          </w:tcPr>
          <w:p>
            <w:pPr>
              <w:spacing w:after="0" w:line="260"/>
            </w:pPr>
            <w:r>
              <w:rPr>
                <w:rFonts w:ascii="Calibri" w:cs="Calibri" w:eastAsia="Calibri" w:hAnsi="Calibri"/>
                <w:color w:val="5A6672"/>
                <w:sz w:val="17"/>
                <w:szCs w:val="17"/>
              </w:rPr>
              <w:t xml:space="preserve">1 hour per network to enable</w:t>
            </w:r>
          </w:p>
        </w:tc>
      </w:tr>
      <w:tr>
        <w:tc>
          <w:tcPr>
            <w:tcW w:type="dxa" w:w="700"/>
            <w:tcMar>
              <w:top w:type="dxa" w:w="90"/>
              <w:left w:type="dxa" w:w="120"/>
              <w:bottom w:type="dxa" w:w="90"/>
              <w:right w:type="dxa" w:w="120"/>
            </w:tcMar>
            <w:vAlign w:val="top"/>
          </w:tcPr>
          <w:p>
            <w:pPr>
              <w:spacing w:after="0" w:line="260"/>
            </w:pPr>
            <w:r>
              <w:rPr>
                <w:rFonts w:ascii="Calibri" w:cs="Calibri" w:eastAsia="Calibri" w:hAnsi="Calibri"/>
                <w:b/>
                <w:bCs/>
                <w:color w:val="25313A"/>
                <w:sz w:val="18"/>
                <w:szCs w:val="18"/>
              </w:rPr>
              <w:t xml:space="preserve">F-04</w:t>
            </w:r>
          </w:p>
        </w:tc>
        <w:tc>
          <w:tcPr>
            <w:tcW w:type="dxa" w:w="4300"/>
            <w:tcMar>
              <w:top w:type="dxa" w:w="90"/>
              <w:left w:type="dxa" w:w="120"/>
              <w:bottom w:type="dxa" w:w="90"/>
              <w:right w:type="dxa" w:w="120"/>
            </w:tcMar>
            <w:vAlign w:val="top"/>
          </w:tcPr>
          <w:p>
            <w:pPr>
              <w:spacing w:after="0" w:line="260"/>
            </w:pPr>
            <w:r>
              <w:rPr>
                <w:rFonts w:ascii="Calibri" w:cs="Calibri" w:eastAsia="Calibri" w:hAnsi="Calibri"/>
                <w:color w:val="25313A"/>
                <w:sz w:val="18"/>
                <w:szCs w:val="18"/>
              </w:rPr>
              <w:t xml:space="preserve">Three site-to-site VPN tunnels use cryptography that is no longer permitted, including IKEv1, SHA-1, MD5 and 1024-bit Diffie-Hellman, with Perfect Forward Secrecy disabled</w:t>
            </w:r>
          </w:p>
        </w:tc>
        <w:tc>
          <w:tcPr>
            <w:tcW w:type="dxa" w:w="1150"/>
            <w:tcMar>
              <w:top w:type="dxa" w:w="90"/>
              <w:left w:type="dxa" w:w="120"/>
              <w:bottom w:type="dxa" w:w="90"/>
              <w:right w:type="dxa" w:w="120"/>
            </w:tcMar>
            <w:vAlign w:val="top"/>
          </w:tcPr>
          <w:p>
            <w:pPr>
              <w:spacing w:after="0" w:line="260"/>
            </w:pPr>
            <w:r>
              <w:rPr>
                <w:rFonts w:ascii="Calibri" w:cs="Calibri" w:eastAsia="Calibri" w:hAnsi="Calibri"/>
                <w:b/>
                <w:bCs/>
                <w:color w:val="B4462A"/>
                <w:sz w:val="18"/>
                <w:szCs w:val="18"/>
              </w:rPr>
              <w:t xml:space="preserve">High</w:t>
            </w:r>
          </w:p>
        </w:tc>
        <w:tc>
          <w:tcPr>
            <w:tcW w:type="dxa" w:w="1050"/>
            <w:tcMar>
              <w:top w:type="dxa" w:w="90"/>
              <w:left w:type="dxa" w:w="120"/>
              <w:bottom w:type="dxa" w:w="90"/>
              <w:right w:type="dxa" w:w="120"/>
            </w:tcMar>
            <w:vAlign w:val="top"/>
          </w:tcPr>
          <w:p>
            <w:pPr>
              <w:spacing w:after="0" w:line="260"/>
            </w:pPr>
            <w:r>
              <w:rPr>
                <w:rFonts w:ascii="Calibri" w:cs="Calibri" w:eastAsia="Calibri" w:hAnsi="Calibri"/>
                <w:color w:val="5A6672"/>
                <w:sz w:val="17"/>
                <w:szCs w:val="17"/>
              </w:rPr>
              <w:t xml:space="preserve">2–4 hours per tunnel including far-end coordination and a maintenance window</w:t>
            </w:r>
          </w:p>
        </w:tc>
      </w:tr>
      <w:tr>
        <w:tc>
          <w:tcPr>
            <w:tcW w:type="dxa" w:w="700"/>
            <w:tcMar>
              <w:top w:type="dxa" w:w="90"/>
              <w:left w:type="dxa" w:w="120"/>
              <w:bottom w:type="dxa" w:w="90"/>
              <w:right w:type="dxa" w:w="120"/>
            </w:tcMar>
            <w:vAlign w:val="top"/>
          </w:tcPr>
          <w:p>
            <w:pPr>
              <w:spacing w:after="0" w:line="260"/>
            </w:pPr>
            <w:r>
              <w:rPr>
                <w:rFonts w:ascii="Calibri" w:cs="Calibri" w:eastAsia="Calibri" w:hAnsi="Calibri"/>
                <w:b/>
                <w:bCs/>
                <w:color w:val="25313A"/>
                <w:sz w:val="18"/>
                <w:szCs w:val="18"/>
              </w:rPr>
              <w:t xml:space="preserve">F-05</w:t>
            </w:r>
          </w:p>
        </w:tc>
        <w:tc>
          <w:tcPr>
            <w:tcW w:type="dxa" w:w="4300"/>
            <w:tcMar>
              <w:top w:type="dxa" w:w="90"/>
              <w:left w:type="dxa" w:w="120"/>
              <w:bottom w:type="dxa" w:w="90"/>
              <w:right w:type="dxa" w:w="120"/>
            </w:tcMar>
            <w:vAlign w:val="top"/>
          </w:tcPr>
          <w:p>
            <w:pPr>
              <w:spacing w:after="0" w:line="260"/>
            </w:pPr>
            <w:r>
              <w:rPr>
                <w:rFonts w:ascii="Calibri" w:cs="Calibri" w:eastAsia="Calibri" w:hAnsi="Calibri"/>
                <w:color w:val="25313A"/>
                <w:sz w:val="18"/>
                <w:szCs w:val="18"/>
              </w:rPr>
              <w:t xml:space="preserve">No single sign-on: SAML is disabled, so administrative identities are local to the dashboard and cannot be centrally revoked</w:t>
            </w:r>
          </w:p>
        </w:tc>
        <w:tc>
          <w:tcPr>
            <w:tcW w:type="dxa" w:w="1150"/>
            <w:tcMar>
              <w:top w:type="dxa" w:w="90"/>
              <w:left w:type="dxa" w:w="120"/>
              <w:bottom w:type="dxa" w:w="90"/>
              <w:right w:type="dxa" w:w="120"/>
            </w:tcMar>
            <w:vAlign w:val="top"/>
          </w:tcPr>
          <w:p>
            <w:pPr>
              <w:spacing w:after="0" w:line="260"/>
            </w:pPr>
            <w:r>
              <w:rPr>
                <w:rFonts w:ascii="Calibri" w:cs="Calibri" w:eastAsia="Calibri" w:hAnsi="Calibri"/>
                <w:b/>
                <w:bCs/>
                <w:color w:val="B4462A"/>
                <w:sz w:val="18"/>
                <w:szCs w:val="18"/>
              </w:rPr>
              <w:t xml:space="preserve">High</w:t>
            </w:r>
          </w:p>
        </w:tc>
        <w:tc>
          <w:tcPr>
            <w:tcW w:type="dxa" w:w="1050"/>
            <w:tcMar>
              <w:top w:type="dxa" w:w="90"/>
              <w:left w:type="dxa" w:w="120"/>
              <w:bottom w:type="dxa" w:w="90"/>
              <w:right w:type="dxa" w:w="120"/>
            </w:tcMar>
            <w:vAlign w:val="top"/>
          </w:tcPr>
          <w:p>
            <w:pPr>
              <w:spacing w:after="0" w:line="260"/>
            </w:pPr>
            <w:r>
              <w:rPr>
                <w:rFonts w:ascii="Calibri" w:cs="Calibri" w:eastAsia="Calibri" w:hAnsi="Calibri"/>
                <w:color w:val="5A6672"/>
                <w:sz w:val="17"/>
                <w:szCs w:val="17"/>
              </w:rPr>
              <w:t xml:space="preserve">1–2 days including testing and the break-glass procedure</w:t>
            </w:r>
          </w:p>
        </w:tc>
      </w:tr>
      <w:tr>
        <w:tc>
          <w:tcPr>
            <w:tcW w:type="dxa" w:w="700"/>
            <w:tcMar>
              <w:top w:type="dxa" w:w="90"/>
              <w:left w:type="dxa" w:w="120"/>
              <w:bottom w:type="dxa" w:w="90"/>
              <w:right w:type="dxa" w:w="120"/>
            </w:tcMar>
            <w:vAlign w:val="top"/>
          </w:tcPr>
          <w:p>
            <w:pPr>
              <w:spacing w:after="0" w:line="260"/>
            </w:pPr>
            <w:r>
              <w:rPr>
                <w:rFonts w:ascii="Calibri" w:cs="Calibri" w:eastAsia="Calibri" w:hAnsi="Calibri"/>
                <w:b/>
                <w:bCs/>
                <w:color w:val="25313A"/>
                <w:sz w:val="18"/>
                <w:szCs w:val="18"/>
              </w:rPr>
              <w:t xml:space="preserve">F-06</w:t>
            </w:r>
          </w:p>
        </w:tc>
        <w:tc>
          <w:tcPr>
            <w:tcW w:type="dxa" w:w="4300"/>
            <w:tcMar>
              <w:top w:type="dxa" w:w="90"/>
              <w:left w:type="dxa" w:w="120"/>
              <w:bottom w:type="dxa" w:w="90"/>
              <w:right w:type="dxa" w:w="120"/>
            </w:tcMar>
            <w:vAlign w:val="top"/>
          </w:tcPr>
          <w:p>
            <w:pPr>
              <w:spacing w:after="0" w:line="260"/>
            </w:pPr>
            <w:r>
              <w:rPr>
                <w:rFonts w:ascii="Calibri" w:cs="Calibri" w:eastAsia="Calibri" w:hAnsi="Calibri"/>
                <w:color w:val="25313A"/>
                <w:sz w:val="18"/>
                <w:szCs w:val="18"/>
              </w:rPr>
              <w:t xml:space="preserve">Dormant administrator accounts are not removed; access rights are not reviewed</w:t>
            </w:r>
          </w:p>
        </w:tc>
        <w:tc>
          <w:tcPr>
            <w:tcW w:type="dxa" w:w="1150"/>
            <w:tcMar>
              <w:top w:type="dxa" w:w="90"/>
              <w:left w:type="dxa" w:w="120"/>
              <w:bottom w:type="dxa" w:w="90"/>
              <w:right w:type="dxa" w:w="120"/>
            </w:tcMar>
            <w:vAlign w:val="top"/>
          </w:tcPr>
          <w:p>
            <w:pPr>
              <w:spacing w:after="0" w:line="260"/>
            </w:pPr>
            <w:r>
              <w:rPr>
                <w:rFonts w:ascii="Calibri" w:cs="Calibri" w:eastAsia="Calibri" w:hAnsi="Calibri"/>
                <w:b/>
                <w:bCs/>
                <w:color w:val="B4462A"/>
                <w:sz w:val="18"/>
                <w:szCs w:val="18"/>
              </w:rPr>
              <w:t xml:space="preserve">High</w:t>
            </w:r>
          </w:p>
        </w:tc>
        <w:tc>
          <w:tcPr>
            <w:tcW w:type="dxa" w:w="1050"/>
            <w:tcMar>
              <w:top w:type="dxa" w:w="90"/>
              <w:left w:type="dxa" w:w="120"/>
              <w:bottom w:type="dxa" w:w="90"/>
              <w:right w:type="dxa" w:w="120"/>
            </w:tcMar>
            <w:vAlign w:val="top"/>
          </w:tcPr>
          <w:p>
            <w:pPr>
              <w:spacing w:after="0" w:line="260"/>
            </w:pPr>
            <w:r>
              <w:rPr>
                <w:rFonts w:ascii="Calibri" w:cs="Calibri" w:eastAsia="Calibri" w:hAnsi="Calibri"/>
                <w:color w:val="5A6672"/>
                <w:sz w:val="17"/>
                <w:szCs w:val="17"/>
              </w:rPr>
              <w:t xml:space="preserve">30 minutes now</w:t>
            </w:r>
          </w:p>
        </w:tc>
      </w:tr>
      <w:tr>
        <w:tc>
          <w:tcPr>
            <w:tcW w:type="dxa" w:w="700"/>
            <w:tcMar>
              <w:top w:type="dxa" w:w="90"/>
              <w:left w:type="dxa" w:w="120"/>
              <w:bottom w:type="dxa" w:w="90"/>
              <w:right w:type="dxa" w:w="120"/>
            </w:tcMar>
            <w:vAlign w:val="top"/>
          </w:tcPr>
          <w:p>
            <w:pPr>
              <w:spacing w:after="0" w:line="260"/>
            </w:pPr>
            <w:r>
              <w:rPr>
                <w:rFonts w:ascii="Calibri" w:cs="Calibri" w:eastAsia="Calibri" w:hAnsi="Calibri"/>
                <w:b/>
                <w:bCs/>
                <w:color w:val="25313A"/>
                <w:sz w:val="18"/>
                <w:szCs w:val="18"/>
              </w:rPr>
              <w:t xml:space="preserve">F-07</w:t>
            </w:r>
          </w:p>
        </w:tc>
        <w:tc>
          <w:tcPr>
            <w:tcW w:type="dxa" w:w="4300"/>
            <w:tcMar>
              <w:top w:type="dxa" w:w="90"/>
              <w:left w:type="dxa" w:w="120"/>
              <w:bottom w:type="dxa" w:w="90"/>
              <w:right w:type="dxa" w:w="120"/>
            </w:tcMar>
            <w:vAlign w:val="top"/>
          </w:tcPr>
          <w:p>
            <w:pPr>
              <w:spacing w:after="0" w:line="260"/>
            </w:pPr>
            <w:r>
              <w:rPr>
                <w:rFonts w:ascii="Calibri" w:cs="Calibri" w:eastAsia="Calibri" w:hAnsi="Calibri"/>
                <w:color w:val="25313A"/>
                <w:sz w:val="18"/>
                <w:szCs w:val="18"/>
              </w:rPr>
              <w:t xml:space="preserve">No alerting is enabled: configuration changes, VPN failures, rogue access points and appliance outages generate no notification</w:t>
            </w:r>
          </w:p>
        </w:tc>
        <w:tc>
          <w:tcPr>
            <w:tcW w:type="dxa" w:w="1150"/>
            <w:tcMar>
              <w:top w:type="dxa" w:w="90"/>
              <w:left w:type="dxa" w:w="120"/>
              <w:bottom w:type="dxa" w:w="90"/>
              <w:right w:type="dxa" w:w="120"/>
            </w:tcMar>
            <w:vAlign w:val="top"/>
          </w:tcPr>
          <w:p>
            <w:pPr>
              <w:spacing w:after="0" w:line="260"/>
            </w:pPr>
            <w:r>
              <w:rPr>
                <w:rFonts w:ascii="Calibri" w:cs="Calibri" w:eastAsia="Calibri" w:hAnsi="Calibri"/>
                <w:b/>
                <w:bCs/>
                <w:color w:val="B4462A"/>
                <w:sz w:val="18"/>
                <w:szCs w:val="18"/>
              </w:rPr>
              <w:t xml:space="preserve">High</w:t>
            </w:r>
          </w:p>
        </w:tc>
        <w:tc>
          <w:tcPr>
            <w:tcW w:type="dxa" w:w="1050"/>
            <w:tcMar>
              <w:top w:type="dxa" w:w="90"/>
              <w:left w:type="dxa" w:w="120"/>
              <w:bottom w:type="dxa" w:w="90"/>
              <w:right w:type="dxa" w:w="120"/>
            </w:tcMar>
            <w:vAlign w:val="top"/>
          </w:tcPr>
          <w:p>
            <w:pPr>
              <w:spacing w:after="0" w:line="260"/>
            </w:pPr>
            <w:r>
              <w:rPr>
                <w:rFonts w:ascii="Calibri" w:cs="Calibri" w:eastAsia="Calibri" w:hAnsi="Calibri"/>
                <w:color w:val="5A6672"/>
                <w:sz w:val="17"/>
                <w:szCs w:val="17"/>
              </w:rPr>
              <w:t xml:space="preserve">30 minutes per network</w:t>
            </w:r>
          </w:p>
        </w:tc>
      </w:tr>
      <w:tr>
        <w:tc>
          <w:tcPr>
            <w:tcW w:type="dxa" w:w="700"/>
            <w:tcMar>
              <w:top w:type="dxa" w:w="90"/>
              <w:left w:type="dxa" w:w="120"/>
              <w:bottom w:type="dxa" w:w="90"/>
              <w:right w:type="dxa" w:w="120"/>
            </w:tcMar>
            <w:vAlign w:val="top"/>
          </w:tcPr>
          <w:p>
            <w:pPr>
              <w:spacing w:after="0" w:line="260"/>
            </w:pPr>
            <w:r>
              <w:rPr>
                <w:rFonts w:ascii="Calibri" w:cs="Calibri" w:eastAsia="Calibri" w:hAnsi="Calibri"/>
                <w:b/>
                <w:bCs/>
                <w:color w:val="25313A"/>
                <w:sz w:val="18"/>
                <w:szCs w:val="18"/>
              </w:rPr>
              <w:t xml:space="preserve">F-08</w:t>
            </w:r>
          </w:p>
        </w:tc>
        <w:tc>
          <w:tcPr>
            <w:tcW w:type="dxa" w:w="4300"/>
            <w:tcMar>
              <w:top w:type="dxa" w:w="90"/>
              <w:left w:type="dxa" w:w="120"/>
              <w:bottom w:type="dxa" w:w="90"/>
              <w:right w:type="dxa" w:w="120"/>
            </w:tcMar>
            <w:vAlign w:val="top"/>
          </w:tcPr>
          <w:p>
            <w:pPr>
              <w:spacing w:after="0" w:line="260"/>
            </w:pPr>
            <w:r>
              <w:rPr>
                <w:rFonts w:ascii="Calibri" w:cs="Calibri" w:eastAsia="Calibri" w:hAnsi="Calibri"/>
                <w:color w:val="25313A"/>
                <w:sz w:val="18"/>
                <w:szCs w:val="18"/>
              </w:rPr>
              <w:t xml:space="preserve">Five external parties hold administrative access, one via a shared generic account used from two countries</w:t>
            </w:r>
          </w:p>
        </w:tc>
        <w:tc>
          <w:tcPr>
            <w:tcW w:type="dxa" w:w="1150"/>
            <w:tcMar>
              <w:top w:type="dxa" w:w="90"/>
              <w:left w:type="dxa" w:w="120"/>
              <w:bottom w:type="dxa" w:w="90"/>
              <w:right w:type="dxa" w:w="120"/>
            </w:tcMar>
            <w:vAlign w:val="top"/>
          </w:tcPr>
          <w:p>
            <w:pPr>
              <w:spacing w:after="0" w:line="260"/>
            </w:pPr>
            <w:r>
              <w:rPr>
                <w:rFonts w:ascii="Calibri" w:cs="Calibri" w:eastAsia="Calibri" w:hAnsi="Calibri"/>
                <w:b/>
                <w:bCs/>
                <w:color w:val="B4462A"/>
                <w:sz w:val="18"/>
                <w:szCs w:val="18"/>
              </w:rPr>
              <w:t xml:space="preserve">High</w:t>
            </w:r>
          </w:p>
        </w:tc>
        <w:tc>
          <w:tcPr>
            <w:tcW w:type="dxa" w:w="1050"/>
            <w:tcMar>
              <w:top w:type="dxa" w:w="90"/>
              <w:left w:type="dxa" w:w="120"/>
              <w:bottom w:type="dxa" w:w="90"/>
              <w:right w:type="dxa" w:w="120"/>
            </w:tcMar>
            <w:vAlign w:val="top"/>
          </w:tcPr>
          <w:p>
            <w:pPr>
              <w:spacing w:after="0" w:line="260"/>
            </w:pPr>
            <w:r>
              <w:rPr>
                <w:rFonts w:ascii="Calibri" w:cs="Calibri" w:eastAsia="Calibri" w:hAnsi="Calibri"/>
                <w:color w:val="5A6672"/>
                <w:sz w:val="17"/>
                <w:szCs w:val="17"/>
              </w:rPr>
              <w:t xml:space="preserve">1 day of review plus supplier correspondence</w:t>
            </w:r>
          </w:p>
        </w:tc>
      </w:tr>
      <w:tr>
        <w:tc>
          <w:tcPr>
            <w:tcW w:type="dxa" w:w="700"/>
            <w:tcMar>
              <w:top w:type="dxa" w:w="90"/>
              <w:left w:type="dxa" w:w="120"/>
              <w:bottom w:type="dxa" w:w="90"/>
              <w:right w:type="dxa" w:w="120"/>
            </w:tcMar>
            <w:vAlign w:val="top"/>
          </w:tcPr>
          <w:p>
            <w:pPr>
              <w:spacing w:after="0" w:line="260"/>
            </w:pPr>
            <w:r>
              <w:rPr>
                <w:rFonts w:ascii="Calibri" w:cs="Calibri" w:eastAsia="Calibri" w:hAnsi="Calibri"/>
                <w:b/>
                <w:bCs/>
                <w:color w:val="25313A"/>
                <w:sz w:val="18"/>
                <w:szCs w:val="18"/>
              </w:rPr>
              <w:t xml:space="preserve">F-09</w:t>
            </w:r>
          </w:p>
        </w:tc>
        <w:tc>
          <w:tcPr>
            <w:tcW w:type="dxa" w:w="4300"/>
            <w:tcMar>
              <w:top w:type="dxa" w:w="90"/>
              <w:left w:type="dxa" w:w="120"/>
              <w:bottom w:type="dxa" w:w="90"/>
              <w:right w:type="dxa" w:w="120"/>
            </w:tcMar>
            <w:vAlign w:val="top"/>
          </w:tcPr>
          <w:p>
            <w:pPr>
              <w:spacing w:after="0" w:line="260"/>
            </w:pPr>
            <w:r>
              <w:rPr>
                <w:rFonts w:ascii="Calibri" w:cs="Calibri" w:eastAsia="Calibri" w:hAnsi="Calibri"/>
                <w:color w:val="25313A"/>
                <w:sz w:val="18"/>
                <w:szCs w:val="18"/>
              </w:rPr>
              <w:t xml:space="preserve">Repeated two-factor authentication failures on a shared supplier account are not investigated</w:t>
            </w:r>
          </w:p>
        </w:tc>
        <w:tc>
          <w:tcPr>
            <w:tcW w:type="dxa" w:w="1150"/>
            <w:tcMar>
              <w:top w:type="dxa" w:w="90"/>
              <w:left w:type="dxa" w:w="120"/>
              <w:bottom w:type="dxa" w:w="90"/>
              <w:right w:type="dxa" w:w="120"/>
            </w:tcMar>
            <w:vAlign w:val="top"/>
          </w:tcPr>
          <w:p>
            <w:pPr>
              <w:spacing w:after="0" w:line="260"/>
            </w:pPr>
            <w:r>
              <w:rPr>
                <w:rFonts w:ascii="Calibri" w:cs="Calibri" w:eastAsia="Calibri" w:hAnsi="Calibri"/>
                <w:b/>
                <w:bCs/>
                <w:color w:val="A2761B"/>
                <w:sz w:val="18"/>
                <w:szCs w:val="18"/>
              </w:rPr>
              <w:t xml:space="preserve">Medium</w:t>
            </w:r>
          </w:p>
        </w:tc>
        <w:tc>
          <w:tcPr>
            <w:tcW w:type="dxa" w:w="1050"/>
            <w:tcMar>
              <w:top w:type="dxa" w:w="90"/>
              <w:left w:type="dxa" w:w="120"/>
              <w:bottom w:type="dxa" w:w="90"/>
              <w:right w:type="dxa" w:w="120"/>
            </w:tcMar>
            <w:vAlign w:val="top"/>
          </w:tcPr>
          <w:p>
            <w:pPr>
              <w:spacing w:after="0" w:line="260"/>
            </w:pPr>
            <w:r>
              <w:rPr>
                <w:rFonts w:ascii="Calibri" w:cs="Calibri" w:eastAsia="Calibri" w:hAnsi="Calibri"/>
                <w:color w:val="5A6672"/>
                <w:sz w:val="17"/>
                <w:szCs w:val="17"/>
              </w:rPr>
              <w:t xml:space="preserve">2 hours of investigation</w:t>
            </w:r>
          </w:p>
        </w:tc>
      </w:tr>
      <w:tr>
        <w:tc>
          <w:tcPr>
            <w:tcW w:type="dxa" w:w="700"/>
            <w:tcMar>
              <w:top w:type="dxa" w:w="90"/>
              <w:left w:type="dxa" w:w="120"/>
              <w:bottom w:type="dxa" w:w="90"/>
              <w:right w:type="dxa" w:w="120"/>
            </w:tcMar>
            <w:vAlign w:val="top"/>
          </w:tcPr>
          <w:p>
            <w:pPr>
              <w:spacing w:after="0" w:line="260"/>
            </w:pPr>
            <w:r>
              <w:rPr>
                <w:rFonts w:ascii="Calibri" w:cs="Calibri" w:eastAsia="Calibri" w:hAnsi="Calibri"/>
                <w:b/>
                <w:bCs/>
                <w:color w:val="25313A"/>
                <w:sz w:val="18"/>
                <w:szCs w:val="18"/>
              </w:rPr>
              <w:t xml:space="preserve">F-10</w:t>
            </w:r>
          </w:p>
        </w:tc>
        <w:tc>
          <w:tcPr>
            <w:tcW w:type="dxa" w:w="4300"/>
            <w:tcMar>
              <w:top w:type="dxa" w:w="90"/>
              <w:left w:type="dxa" w:w="120"/>
              <w:bottom w:type="dxa" w:w="90"/>
              <w:right w:type="dxa" w:w="120"/>
            </w:tcMar>
            <w:vAlign w:val="top"/>
          </w:tcPr>
          <w:p>
            <w:pPr>
              <w:spacing w:after="0" w:line="260"/>
            </w:pPr>
            <w:r>
              <w:rPr>
                <w:rFonts w:ascii="Calibri" w:cs="Calibri" w:eastAsia="Calibri" w:hAnsi="Calibri"/>
                <w:color w:val="25313A"/>
                <w:sz w:val="18"/>
                <w:szCs w:val="18"/>
              </w:rPr>
              <w:t xml:space="preserve">No account lockout, no session idle timeout, no password length or complexity requirement, and no source-IP restriction on the dashboard or its API</w:t>
            </w:r>
          </w:p>
        </w:tc>
        <w:tc>
          <w:tcPr>
            <w:tcW w:type="dxa" w:w="1150"/>
            <w:tcMar>
              <w:top w:type="dxa" w:w="90"/>
              <w:left w:type="dxa" w:w="120"/>
              <w:bottom w:type="dxa" w:w="90"/>
              <w:right w:type="dxa" w:w="120"/>
            </w:tcMar>
            <w:vAlign w:val="top"/>
          </w:tcPr>
          <w:p>
            <w:pPr>
              <w:spacing w:after="0" w:line="260"/>
            </w:pPr>
            <w:r>
              <w:rPr>
                <w:rFonts w:ascii="Calibri" w:cs="Calibri" w:eastAsia="Calibri" w:hAnsi="Calibri"/>
                <w:b/>
                <w:bCs/>
                <w:color w:val="A2761B"/>
                <w:sz w:val="18"/>
                <w:szCs w:val="18"/>
              </w:rPr>
              <w:t xml:space="preserve">Medium</w:t>
            </w:r>
          </w:p>
        </w:tc>
        <w:tc>
          <w:tcPr>
            <w:tcW w:type="dxa" w:w="1050"/>
            <w:tcMar>
              <w:top w:type="dxa" w:w="90"/>
              <w:left w:type="dxa" w:w="120"/>
              <w:bottom w:type="dxa" w:w="90"/>
              <w:right w:type="dxa" w:w="120"/>
            </w:tcMar>
            <w:vAlign w:val="top"/>
          </w:tcPr>
          <w:p>
            <w:pPr>
              <w:spacing w:after="0" w:line="260"/>
            </w:pPr>
            <w:r>
              <w:rPr>
                <w:rFonts w:ascii="Calibri" w:cs="Calibri" w:eastAsia="Calibri" w:hAnsi="Calibri"/>
                <w:color w:val="5A6672"/>
                <w:sz w:val="17"/>
                <w:szCs w:val="17"/>
              </w:rPr>
              <w:t xml:space="preserve">30 minutes for the account controls</w:t>
            </w:r>
          </w:p>
        </w:tc>
      </w:tr>
      <w:tr>
        <w:tc>
          <w:tcPr>
            <w:tcW w:type="dxa" w:w="700"/>
            <w:tcMar>
              <w:top w:type="dxa" w:w="90"/>
              <w:left w:type="dxa" w:w="120"/>
              <w:bottom w:type="dxa" w:w="90"/>
              <w:right w:type="dxa" w:w="120"/>
            </w:tcMar>
            <w:vAlign w:val="top"/>
          </w:tcPr>
          <w:p>
            <w:pPr>
              <w:spacing w:after="0" w:line="260"/>
            </w:pPr>
            <w:r>
              <w:rPr>
                <w:rFonts w:ascii="Calibri" w:cs="Calibri" w:eastAsia="Calibri" w:hAnsi="Calibri"/>
                <w:b/>
                <w:bCs/>
                <w:color w:val="25313A"/>
                <w:sz w:val="18"/>
                <w:szCs w:val="18"/>
              </w:rPr>
              <w:t xml:space="preserve">F-11</w:t>
            </w:r>
          </w:p>
        </w:tc>
        <w:tc>
          <w:tcPr>
            <w:tcW w:type="dxa" w:w="4300"/>
            <w:tcMar>
              <w:top w:type="dxa" w:w="90"/>
              <w:left w:type="dxa" w:w="120"/>
              <w:bottom w:type="dxa" w:w="90"/>
              <w:right w:type="dxa" w:w="120"/>
            </w:tcMar>
            <w:vAlign w:val="top"/>
          </w:tcPr>
          <w:p>
            <w:pPr>
              <w:spacing w:after="0" w:line="260"/>
            </w:pPr>
            <w:r>
              <w:rPr>
                <w:rFonts w:ascii="Calibri" w:cs="Calibri" w:eastAsia="Calibri" w:hAnsi="Calibri"/>
                <w:color w:val="25313A"/>
                <w:sz w:val="18"/>
                <w:szCs w:val="18"/>
              </w:rPr>
              <w:t xml:space="preserve">Least privilege is not applied: ten of fourteen administrators hold organisation-wide full access and no limited or custom roles are in use</w:t>
            </w:r>
          </w:p>
        </w:tc>
        <w:tc>
          <w:tcPr>
            <w:tcW w:type="dxa" w:w="1150"/>
            <w:tcMar>
              <w:top w:type="dxa" w:w="90"/>
              <w:left w:type="dxa" w:w="120"/>
              <w:bottom w:type="dxa" w:w="90"/>
              <w:right w:type="dxa" w:w="120"/>
            </w:tcMar>
            <w:vAlign w:val="top"/>
          </w:tcPr>
          <w:p>
            <w:pPr>
              <w:spacing w:after="0" w:line="260"/>
            </w:pPr>
            <w:r>
              <w:rPr>
                <w:rFonts w:ascii="Calibri" w:cs="Calibri" w:eastAsia="Calibri" w:hAnsi="Calibri"/>
                <w:b/>
                <w:bCs/>
                <w:color w:val="A2761B"/>
                <w:sz w:val="18"/>
                <w:szCs w:val="18"/>
              </w:rPr>
              <w:t xml:space="preserve">Medium</w:t>
            </w:r>
          </w:p>
        </w:tc>
        <w:tc>
          <w:tcPr>
            <w:tcW w:type="dxa" w:w="1050"/>
            <w:tcMar>
              <w:top w:type="dxa" w:w="90"/>
              <w:left w:type="dxa" w:w="120"/>
              <w:bottom w:type="dxa" w:w="90"/>
              <w:right w:type="dxa" w:w="120"/>
            </w:tcMar>
            <w:vAlign w:val="top"/>
          </w:tcPr>
          <w:p>
            <w:pPr>
              <w:spacing w:after="0" w:line="260"/>
            </w:pPr>
            <w:r>
              <w:rPr>
                <w:rFonts w:ascii="Calibri" w:cs="Calibri" w:eastAsia="Calibri" w:hAnsi="Calibri"/>
                <w:color w:val="5A6672"/>
                <w:sz w:val="17"/>
                <w:szCs w:val="17"/>
              </w:rPr>
              <w:t xml:space="preserve">1 day of analysis and reassignment</w:t>
            </w:r>
          </w:p>
        </w:tc>
      </w:tr>
      <w:tr>
        <w:tc>
          <w:tcPr>
            <w:tcW w:type="dxa" w:w="700"/>
            <w:tcMar>
              <w:top w:type="dxa" w:w="90"/>
              <w:left w:type="dxa" w:w="120"/>
              <w:bottom w:type="dxa" w:w="90"/>
              <w:right w:type="dxa" w:w="120"/>
            </w:tcMar>
            <w:vAlign w:val="top"/>
          </w:tcPr>
          <w:p>
            <w:pPr>
              <w:spacing w:after="0" w:line="260"/>
            </w:pPr>
            <w:r>
              <w:rPr>
                <w:rFonts w:ascii="Calibri" w:cs="Calibri" w:eastAsia="Calibri" w:hAnsi="Calibri"/>
                <w:b/>
                <w:bCs/>
                <w:color w:val="25313A"/>
                <w:sz w:val="18"/>
                <w:szCs w:val="18"/>
              </w:rPr>
              <w:t xml:space="preserve">F-12</w:t>
            </w:r>
          </w:p>
        </w:tc>
        <w:tc>
          <w:tcPr>
            <w:tcW w:type="dxa" w:w="4300"/>
            <w:tcMar>
              <w:top w:type="dxa" w:w="90"/>
              <w:left w:type="dxa" w:w="120"/>
              <w:bottom w:type="dxa" w:w="90"/>
              <w:right w:type="dxa" w:w="120"/>
            </w:tcMar>
            <w:vAlign w:val="top"/>
          </w:tcPr>
          <w:p>
            <w:pPr>
              <w:spacing w:after="0" w:line="260"/>
            </w:pPr>
            <w:r>
              <w:rPr>
                <w:rFonts w:ascii="Calibri" w:cs="Calibri" w:eastAsia="Calibri" w:hAnsi="Calibri"/>
                <w:color w:val="25313A"/>
                <w:sz w:val="18"/>
                <w:szCs w:val="18"/>
              </w:rPr>
              <w:t xml:space="preserve">Cisco support is permitted standing full access to the organisation</w:t>
            </w:r>
          </w:p>
        </w:tc>
        <w:tc>
          <w:tcPr>
            <w:tcW w:type="dxa" w:w="1150"/>
            <w:tcMar>
              <w:top w:type="dxa" w:w="90"/>
              <w:left w:type="dxa" w:w="120"/>
              <w:bottom w:type="dxa" w:w="90"/>
              <w:right w:type="dxa" w:w="120"/>
            </w:tcMar>
            <w:vAlign w:val="top"/>
          </w:tcPr>
          <w:p>
            <w:pPr>
              <w:spacing w:after="0" w:line="260"/>
            </w:pPr>
            <w:r>
              <w:rPr>
                <w:rFonts w:ascii="Calibri" w:cs="Calibri" w:eastAsia="Calibri" w:hAnsi="Calibri"/>
                <w:b/>
                <w:bCs/>
                <w:color w:val="A2761B"/>
                <w:sz w:val="18"/>
                <w:szCs w:val="18"/>
              </w:rPr>
              <w:t xml:space="preserve">Medium</w:t>
            </w:r>
          </w:p>
        </w:tc>
        <w:tc>
          <w:tcPr>
            <w:tcW w:type="dxa" w:w="1050"/>
            <w:tcMar>
              <w:top w:type="dxa" w:w="90"/>
              <w:left w:type="dxa" w:w="120"/>
              <w:bottom w:type="dxa" w:w="90"/>
              <w:right w:type="dxa" w:w="120"/>
            </w:tcMar>
            <w:vAlign w:val="top"/>
          </w:tcPr>
          <w:p>
            <w:pPr>
              <w:spacing w:after="0" w:line="260"/>
            </w:pPr>
            <w:r>
              <w:rPr>
                <w:rFonts w:ascii="Calibri" w:cs="Calibri" w:eastAsia="Calibri" w:hAnsi="Calibri"/>
                <w:color w:val="5A6672"/>
                <w:sz w:val="17"/>
                <w:szCs w:val="17"/>
              </w:rPr>
              <w:t xml:space="preserve">1 hour to document, or 2 minutes to change</w:t>
            </w:r>
          </w:p>
        </w:tc>
      </w:tr>
      <w:tr>
        <w:tc>
          <w:tcPr>
            <w:tcW w:type="dxa" w:w="700"/>
            <w:tcMar>
              <w:top w:type="dxa" w:w="90"/>
              <w:left w:type="dxa" w:w="120"/>
              <w:bottom w:type="dxa" w:w="90"/>
              <w:right w:type="dxa" w:w="120"/>
            </w:tcMar>
            <w:vAlign w:val="top"/>
          </w:tcPr>
          <w:p>
            <w:pPr>
              <w:spacing w:after="0" w:line="260"/>
            </w:pPr>
            <w:r>
              <w:rPr>
                <w:rFonts w:ascii="Calibri" w:cs="Calibri" w:eastAsia="Calibri" w:hAnsi="Calibri"/>
                <w:b/>
                <w:bCs/>
                <w:color w:val="25313A"/>
                <w:sz w:val="18"/>
                <w:szCs w:val="18"/>
              </w:rPr>
              <w:t xml:space="preserve">F-13</w:t>
            </w:r>
          </w:p>
        </w:tc>
        <w:tc>
          <w:tcPr>
            <w:tcW w:type="dxa" w:w="4300"/>
            <w:tcMar>
              <w:top w:type="dxa" w:w="90"/>
              <w:left w:type="dxa" w:w="120"/>
              <w:bottom w:type="dxa" w:w="90"/>
              <w:right w:type="dxa" w:w="120"/>
            </w:tcMar>
            <w:vAlign w:val="top"/>
          </w:tcPr>
          <w:p>
            <w:pPr>
              <w:spacing w:after="0" w:line="260"/>
            </w:pPr>
            <w:r>
              <w:rPr>
                <w:rFonts w:ascii="Calibri" w:cs="Calibri" w:eastAsia="Calibri" w:hAnsi="Calibri"/>
                <w:color w:val="25313A"/>
                <w:sz w:val="18"/>
                <w:szCs w:val="18"/>
              </w:rPr>
              <w:t xml:space="preserve">Logs are generated but never leave the platform: no syslog or SIEM export, and retention is bounded by the vendor</w:t>
            </w:r>
          </w:p>
        </w:tc>
        <w:tc>
          <w:tcPr>
            <w:tcW w:type="dxa" w:w="1150"/>
            <w:tcMar>
              <w:top w:type="dxa" w:w="90"/>
              <w:left w:type="dxa" w:w="120"/>
              <w:bottom w:type="dxa" w:w="90"/>
              <w:right w:type="dxa" w:w="120"/>
            </w:tcMar>
            <w:vAlign w:val="top"/>
          </w:tcPr>
          <w:p>
            <w:pPr>
              <w:spacing w:after="0" w:line="260"/>
            </w:pPr>
            <w:r>
              <w:rPr>
                <w:rFonts w:ascii="Calibri" w:cs="Calibri" w:eastAsia="Calibri" w:hAnsi="Calibri"/>
                <w:b/>
                <w:bCs/>
                <w:color w:val="A2761B"/>
                <w:sz w:val="18"/>
                <w:szCs w:val="18"/>
              </w:rPr>
              <w:t xml:space="preserve">Medium</w:t>
            </w:r>
          </w:p>
        </w:tc>
        <w:tc>
          <w:tcPr>
            <w:tcW w:type="dxa" w:w="1050"/>
            <w:tcMar>
              <w:top w:type="dxa" w:w="90"/>
              <w:left w:type="dxa" w:w="120"/>
              <w:bottom w:type="dxa" w:w="90"/>
              <w:right w:type="dxa" w:w="120"/>
            </w:tcMar>
            <w:vAlign w:val="top"/>
          </w:tcPr>
          <w:p>
            <w:pPr>
              <w:spacing w:after="0" w:line="260"/>
            </w:pPr>
            <w:r>
              <w:rPr>
                <w:rFonts w:ascii="Calibri" w:cs="Calibri" w:eastAsia="Calibri" w:hAnsi="Calibri"/>
                <w:color w:val="5A6672"/>
                <w:sz w:val="17"/>
                <w:szCs w:val="17"/>
              </w:rPr>
              <w:t xml:space="preserve">1–2 days depending on whether a collector already exists</w:t>
            </w:r>
          </w:p>
        </w:tc>
      </w:tr>
      <w:tr>
        <w:tc>
          <w:tcPr>
            <w:tcW w:type="dxa" w:w="700"/>
            <w:tcMar>
              <w:top w:type="dxa" w:w="90"/>
              <w:left w:type="dxa" w:w="120"/>
              <w:bottom w:type="dxa" w:w="90"/>
              <w:right w:type="dxa" w:w="120"/>
            </w:tcMar>
            <w:vAlign w:val="top"/>
          </w:tcPr>
          <w:p>
            <w:pPr>
              <w:spacing w:after="0" w:line="260"/>
            </w:pPr>
            <w:r>
              <w:rPr>
                <w:rFonts w:ascii="Calibri" w:cs="Calibri" w:eastAsia="Calibri" w:hAnsi="Calibri"/>
                <w:b/>
                <w:bCs/>
                <w:color w:val="25313A"/>
                <w:sz w:val="18"/>
                <w:szCs w:val="18"/>
              </w:rPr>
              <w:t xml:space="preserve">F-14</w:t>
            </w:r>
          </w:p>
        </w:tc>
        <w:tc>
          <w:tcPr>
            <w:tcW w:type="dxa" w:w="4300"/>
            <w:tcMar>
              <w:top w:type="dxa" w:w="90"/>
              <w:left w:type="dxa" w:w="120"/>
              <w:bottom w:type="dxa" w:w="90"/>
              <w:right w:type="dxa" w:w="120"/>
            </w:tcMar>
            <w:vAlign w:val="top"/>
          </w:tcPr>
          <w:p>
            <w:pPr>
              <w:spacing w:after="0" w:line="260"/>
            </w:pPr>
            <w:r>
              <w:rPr>
                <w:rFonts w:ascii="Calibri" w:cs="Calibri" w:eastAsia="Calibri" w:hAnsi="Calibri"/>
                <w:color w:val="25313A"/>
                <w:sz w:val="18"/>
                <w:szCs w:val="18"/>
              </w:rPr>
              <w:t xml:space="preserve">Firmware is current but patching is reactive: no maintenance window is scheduled and one platform is a release behind</w:t>
            </w:r>
          </w:p>
        </w:tc>
        <w:tc>
          <w:tcPr>
            <w:tcW w:type="dxa" w:w="1150"/>
            <w:tcMar>
              <w:top w:type="dxa" w:w="90"/>
              <w:left w:type="dxa" w:w="120"/>
              <w:bottom w:type="dxa" w:w="90"/>
              <w:right w:type="dxa" w:w="120"/>
            </w:tcMar>
            <w:vAlign w:val="top"/>
          </w:tcPr>
          <w:p>
            <w:pPr>
              <w:spacing w:after="0" w:line="260"/>
            </w:pPr>
            <w:r>
              <w:rPr>
                <w:rFonts w:ascii="Calibri" w:cs="Calibri" w:eastAsia="Calibri" w:hAnsi="Calibri"/>
                <w:b/>
                <w:bCs/>
                <w:color w:val="4A5A66"/>
                <w:sz w:val="18"/>
                <w:szCs w:val="18"/>
              </w:rPr>
              <w:t xml:space="preserve">Low</w:t>
            </w:r>
          </w:p>
        </w:tc>
        <w:tc>
          <w:tcPr>
            <w:tcW w:type="dxa" w:w="1050"/>
            <w:tcMar>
              <w:top w:type="dxa" w:w="90"/>
              <w:left w:type="dxa" w:w="120"/>
              <w:bottom w:type="dxa" w:w="90"/>
              <w:right w:type="dxa" w:w="120"/>
            </w:tcMar>
            <w:vAlign w:val="top"/>
          </w:tcPr>
          <w:p>
            <w:pPr>
              <w:spacing w:after="0" w:line="260"/>
            </w:pPr>
            <w:r>
              <w:rPr>
                <w:rFonts w:ascii="Calibri" w:cs="Calibri" w:eastAsia="Calibri" w:hAnsi="Calibri"/>
                <w:color w:val="5A6672"/>
                <w:sz w:val="17"/>
                <w:szCs w:val="17"/>
              </w:rPr>
              <w:t xml:space="preserve">2 hours to define and schedule</w:t>
            </w:r>
          </w:p>
        </w:tc>
      </w:tr>
      <w:tr>
        <w:tc>
          <w:tcPr>
            <w:tcW w:type="dxa" w:w="700"/>
            <w:tcMar>
              <w:top w:type="dxa" w:w="90"/>
              <w:left w:type="dxa" w:w="120"/>
              <w:bottom w:type="dxa" w:w="90"/>
              <w:right w:type="dxa" w:w="120"/>
            </w:tcMar>
            <w:vAlign w:val="top"/>
          </w:tcPr>
          <w:p>
            <w:pPr>
              <w:spacing w:after="0" w:line="260"/>
            </w:pPr>
            <w:r>
              <w:rPr>
                <w:rFonts w:ascii="Calibri" w:cs="Calibri" w:eastAsia="Calibri" w:hAnsi="Calibri"/>
                <w:b/>
                <w:bCs/>
                <w:color w:val="25313A"/>
                <w:sz w:val="18"/>
                <w:szCs w:val="18"/>
              </w:rPr>
              <w:t xml:space="preserve">F-15</w:t>
            </w:r>
          </w:p>
        </w:tc>
        <w:tc>
          <w:tcPr>
            <w:tcW w:type="dxa" w:w="4300"/>
            <w:tcMar>
              <w:top w:type="dxa" w:w="90"/>
              <w:left w:type="dxa" w:w="120"/>
              <w:bottom w:type="dxa" w:w="90"/>
              <w:right w:type="dxa" w:w="120"/>
            </w:tcMar>
            <w:vAlign w:val="top"/>
          </w:tcPr>
          <w:p>
            <w:pPr>
              <w:spacing w:after="0" w:line="260"/>
            </w:pPr>
            <w:r>
              <w:rPr>
                <w:rFonts w:ascii="Calibri" w:cs="Calibri" w:eastAsia="Calibri" w:hAnsi="Calibri"/>
                <w:color w:val="25313A"/>
                <w:sz w:val="18"/>
                <w:szCs w:val="18"/>
              </w:rPr>
              <w:t xml:space="preserve">Ad-hoc configuration changes without evidence of change control, including a protective switch feature being disabled</w:t>
            </w:r>
          </w:p>
        </w:tc>
        <w:tc>
          <w:tcPr>
            <w:tcW w:type="dxa" w:w="1150"/>
            <w:tcMar>
              <w:top w:type="dxa" w:w="90"/>
              <w:left w:type="dxa" w:w="120"/>
              <w:bottom w:type="dxa" w:w="90"/>
              <w:right w:type="dxa" w:w="120"/>
            </w:tcMar>
            <w:vAlign w:val="top"/>
          </w:tcPr>
          <w:p>
            <w:pPr>
              <w:spacing w:after="0" w:line="260"/>
            </w:pPr>
            <w:r>
              <w:rPr>
                <w:rFonts w:ascii="Calibri" w:cs="Calibri" w:eastAsia="Calibri" w:hAnsi="Calibri"/>
                <w:b/>
                <w:bCs/>
                <w:color w:val="4A5A66"/>
                <w:sz w:val="18"/>
                <w:szCs w:val="18"/>
              </w:rPr>
              <w:t xml:space="preserve">Low</w:t>
            </w:r>
          </w:p>
        </w:tc>
        <w:tc>
          <w:tcPr>
            <w:tcW w:type="dxa" w:w="1050"/>
            <w:tcMar>
              <w:top w:type="dxa" w:w="90"/>
              <w:left w:type="dxa" w:w="120"/>
              <w:bottom w:type="dxa" w:w="90"/>
              <w:right w:type="dxa" w:w="120"/>
            </w:tcMar>
            <w:vAlign w:val="top"/>
          </w:tcPr>
          <w:p>
            <w:pPr>
              <w:spacing w:after="0" w:line="260"/>
            </w:pPr>
            <w:r>
              <w:rPr>
                <w:rFonts w:ascii="Calibri" w:cs="Calibri" w:eastAsia="Calibri" w:hAnsi="Calibri"/>
                <w:color w:val="5A6672"/>
                <w:sz w:val="17"/>
                <w:szCs w:val="17"/>
              </w:rPr>
              <w:t xml:space="preserve">4 hours of review</w:t>
            </w:r>
          </w:p>
        </w:tc>
      </w:tr>
    </w:tbl>
    <w:p>
      <w:pPr>
        <w:pStyle w:val="Heading1"/>
        <w:spacing w:after="130" w:before="400"/>
      </w:pPr>
      <w:r>
        <w:rPr>
          <w:rFonts w:ascii="Calibri" w:cs="Calibri" w:eastAsia="Calibri" w:hAnsi="Calibri"/>
          <w:b/>
          <w:bCs/>
          <w:color w:val="0B6E63"/>
          <w:sz w:val="30"/>
          <w:szCs w:val="30"/>
        </w:rPr>
        <w:t xml:space="preserve">Do these four things first</w:t>
      </w:r>
    </w:p>
    <w:p>
      <w:pPr>
        <w:spacing w:after="140" w:before="0" w:line="276"/>
      </w:pPr>
      <w:r>
        <w:rPr>
          <w:rFonts w:ascii="Calibri" w:cs="Calibri" w:eastAsia="Calibri" w:hAnsi="Calibri"/>
          <w:color w:val="25313A"/>
          <w:sz w:val="21"/>
          <w:szCs w:val="21"/>
        </w:rPr>
        <w:t xml:space="preserve">Together these close both critical findings and the highest-value part of two more. Total configuration effort is under a working day; the notice period, not the work, sets the timeline.</w:t>
      </w:r>
    </w:p>
    <w:p>
      <w:pPr>
        <w:spacing w:after="40" w:before="0" w:line="276"/>
      </w:pPr>
      <w:r>
        <w:rPr>
          <w:rFonts w:ascii="Calibri" w:cs="Calibri" w:eastAsia="Calibri" w:hAnsi="Calibri"/>
          <w:b/>
          <w:bCs/>
          <w:color w:val="25313A"/>
          <w:sz w:val="21"/>
          <w:szCs w:val="21"/>
        </w:rPr>
        <w:t xml:space="preserve">1. Enforce multi-factor authentication organisation-wide (F-01)</w:t>
      </w:r>
    </w:p>
    <w:p>
      <w:pPr>
        <w:spacing w:after="170" w:before="0" w:line="276"/>
      </w:pPr>
      <w:r>
        <w:rPr>
          <w:rFonts w:ascii="Calibri" w:cs="Calibri" w:eastAsia="Calibri" w:hAnsi="Calibri"/>
          <w:color w:val="25313A"/>
          <w:sz w:val="21"/>
          <w:szCs w:val="21"/>
        </w:rPr>
        <w:t xml:space="preserve">Give the six affected administrators a short deadline to enrol, then tick the box. 15 minutes of work.</w:t>
      </w:r>
    </w:p>
    <w:p>
      <w:pPr>
        <w:spacing w:after="40" w:before="0" w:line="276"/>
      </w:pPr>
      <w:r>
        <w:rPr>
          <w:rFonts w:ascii="Calibri" w:cs="Calibri" w:eastAsia="Calibri" w:hAnsi="Calibri"/>
          <w:b/>
          <w:bCs/>
          <w:color w:val="25313A"/>
          <w:sz w:val="21"/>
          <w:szCs w:val="21"/>
        </w:rPr>
        <w:t xml:space="preserve">2. Delete the personal-webmail administrator account (F-02)</w:t>
      </w:r>
    </w:p>
    <w:p>
      <w:pPr>
        <w:spacing w:after="170" w:before="0" w:line="276"/>
      </w:pPr>
      <w:r>
        <w:rPr>
          <w:rFonts w:ascii="Calibri" w:cs="Calibri" w:eastAsia="Calibri" w:hAnsi="Calibri"/>
          <w:color w:val="25313A"/>
          <w:sz w:val="21"/>
          <w:szCs w:val="21"/>
        </w:rPr>
        <w:t xml:space="preserve">It is dormant, has no second factor, holds organisation-wide full access, and is redundant. Two minutes, no operational impact.</w:t>
      </w:r>
    </w:p>
    <w:p>
      <w:pPr>
        <w:spacing w:after="40" w:before="0" w:line="276"/>
      </w:pPr>
      <w:r>
        <w:rPr>
          <w:rFonts w:ascii="Calibri" w:cs="Calibri" w:eastAsia="Calibri" w:hAnsi="Calibri"/>
          <w:b/>
          <w:bCs/>
          <w:color w:val="25313A"/>
          <w:sz w:val="21"/>
          <w:szCs w:val="21"/>
        </w:rPr>
        <w:t xml:space="preserve">3. Turn on malware protection and intrusion detection (F-03)</w:t>
      </w:r>
    </w:p>
    <w:p>
      <w:pPr>
        <w:spacing w:after="170" w:before="0" w:line="276"/>
      </w:pPr>
      <w:r>
        <w:rPr>
          <w:rFonts w:ascii="Calibri" w:cs="Calibri" w:eastAsia="Calibri" w:hAnsi="Calibri"/>
          <w:color w:val="25313A"/>
          <w:sz w:val="21"/>
          <w:szCs w:val="21"/>
        </w:rPr>
        <w:t xml:space="preserve">AMP on immediately; IDS/IPS in Detection mode for two weeks, then Prevention. The licences are already paid for.</w:t>
      </w:r>
    </w:p>
    <w:p>
      <w:pPr>
        <w:spacing w:after="40" w:before="0" w:line="276"/>
      </w:pPr>
      <w:r>
        <w:rPr>
          <w:rFonts w:ascii="Calibri" w:cs="Calibri" w:eastAsia="Calibri" w:hAnsi="Calibri"/>
          <w:b/>
          <w:bCs/>
          <w:color w:val="25313A"/>
          <w:sz w:val="21"/>
          <w:szCs w:val="21"/>
        </w:rPr>
        <w:t xml:space="preserve">4. Enable alerting and send it to a monitored address (F-07)</w:t>
      </w:r>
    </w:p>
    <w:p>
      <w:pPr>
        <w:spacing w:after="170" w:before="0" w:line="276"/>
      </w:pPr>
      <w:r>
        <w:rPr>
          <w:rFonts w:ascii="Calibri" w:cs="Calibri" w:eastAsia="Calibri" w:hAnsi="Calibri"/>
          <w:color w:val="25313A"/>
          <w:sz w:val="21"/>
          <w:szCs w:val="21"/>
        </w:rPr>
        <w:t xml:space="preserve">Configuration change, VPN up/down, rogue AP, appliance offline. Without this, none of the above is observable.</w:t>
      </w:r>
    </w:p>
    <w:p>
      <w:pPr>
        <w:pStyle w:val="Heading1"/>
        <w:spacing w:after="130" w:before="340"/>
      </w:pPr>
      <w:r>
        <w:rPr>
          <w:rFonts w:ascii="Calibri" w:cs="Calibri" w:eastAsia="Calibri" w:hAnsi="Calibri"/>
          <w:b/>
          <w:bCs/>
          <w:color w:val="0B6E63"/>
          <w:sz w:val="30"/>
          <w:szCs w:val="30"/>
        </w:rPr>
        <w:t xml:space="preserve">What could not be assessed</w:t>
      </w:r>
    </w:p>
    <w:p>
      <w:pPr>
        <w:spacing w:after="140" w:before="0" w:line="276"/>
      </w:pPr>
      <w:r>
        <w:rPr>
          <w:rFonts w:ascii="Calibri" w:cs="Calibri" w:eastAsia="Calibri" w:hAnsi="Calibri"/>
          <w:color w:val="25313A"/>
          <w:sz w:val="21"/>
          <w:szCs w:val="21"/>
        </w:rPr>
        <w:t xml:space="preserve">Stated so that the coverage of this report is not overstated. This assessment reads one system: the Cisco Meraki dashboard. It is therefore a strong assessment of network infrastructure security and silent on everything else.</w:t>
      </w:r>
    </w:p>
    <w:p>
      <w:pPr>
        <w:pStyle w:val="ListParagraph"/>
        <w:numPr>
          <w:ilvl w:val="0"/>
          <w:numId w:val="2"/>
        </w:numPr>
        <w:spacing w:after="90" w:line="268"/>
      </w:pPr>
      <w:r>
        <w:rPr>
          <w:rFonts w:ascii="Calibri" w:cs="Calibri" w:eastAsia="Calibri" w:hAnsi="Calibri"/>
          <w:color w:val="25313A"/>
          <w:sz w:val="21"/>
          <w:szCs w:val="21"/>
        </w:rPr>
        <w:t xml:space="preserve">Threat protection and alerting were confirmed on one of ten networks. The other nine are very likely in the same state but must be verified.</w:t>
      </w:r>
    </w:p>
    <w:p>
      <w:pPr>
        <w:pStyle w:val="ListParagraph"/>
        <w:numPr>
          <w:ilvl w:val="0"/>
          <w:numId w:val="2"/>
        </w:numPr>
        <w:spacing w:after="90" w:line="268"/>
      </w:pPr>
      <w:r>
        <w:rPr>
          <w:rFonts w:ascii="Calibri" w:cs="Calibri" w:eastAsia="Calibri" w:hAnsi="Calibri"/>
          <w:color w:val="25313A"/>
          <w:sz w:val="21"/>
          <w:szCs w:val="21"/>
        </w:rPr>
        <w:t xml:space="preserve">Firewall rule sets, content filtering, wireless encryption and 802.1X, switch access policies and client VPN were not read.</w:t>
      </w:r>
    </w:p>
    <w:p>
      <w:pPr>
        <w:pStyle w:val="ListParagraph"/>
        <w:numPr>
          <w:ilvl w:val="0"/>
          <w:numId w:val="2"/>
        </w:numPr>
        <w:spacing w:after="90" w:line="268"/>
      </w:pPr>
      <w:r>
        <w:rPr>
          <w:rFonts w:ascii="Calibri" w:cs="Calibri" w:eastAsia="Calibri" w:hAnsi="Calibri"/>
          <w:color w:val="25313A"/>
          <w:sz w:val="21"/>
          <w:szCs w:val="21"/>
        </w:rPr>
        <w:t xml:space="preserve">No evidence outside Meraki: no endpoint protection, identity provider, backup or recovery testing, policies, risk register, supplier contracts, incident records or training records.</w:t>
      </w:r>
    </w:p>
    <w:p>
      <w:pPr>
        <w:pStyle w:val="ListParagraph"/>
        <w:numPr>
          <w:ilvl w:val="0"/>
          <w:numId w:val="2"/>
        </w:numPr>
        <w:spacing w:after="90" w:line="268"/>
      </w:pPr>
      <w:r>
        <w:rPr>
          <w:rFonts w:ascii="Calibri" w:cs="Calibri" w:eastAsia="Calibri" w:hAnsi="Calibri"/>
          <w:color w:val="25313A"/>
          <w:sz w:val="21"/>
          <w:szCs w:val="21"/>
        </w:rPr>
        <w:t xml:space="preserve">Consequently the RESPOND and RECOVER functions of NIST CSF 2.0, and most of ISO 27001 Clauses 4–10 and the organisational and people controls of Annex A, are marked "not assessed" rather than compliant or non-compliant. A certification audit needs those; this report does not substitute for one.</w:t>
      </w:r>
    </w:p>
    <w:p>
      <w:pPr>
        <w:spacing w:after="300" w:before="0" w:line="276"/>
      </w:pPr>
      <w:r>
        <w:rPr>
          <w:rFonts w:ascii="Calibri" w:cs="Calibri" w:eastAsia="Calibri" w:hAnsi="Calibri"/>
          <w:color w:val="25313A"/>
          <w:sz w:val="21"/>
          <w:szCs w:val="21"/>
        </w:rPr>
        <w:t xml:space="preserve"/>
      </w:r>
    </w:p>
    <w:p>
      <w:pPr>
        <w:pBdr>
          <w:bottom w:val="single" w:color="D3DBE0" w:sz="6"/>
        </w:pBdr>
        <w:spacing w:after="200" w:before="60"/>
      </w:pPr>
      <w:r>
        <w:rPr>
          <w:sz w:val="2"/>
          <w:szCs w:val="2"/>
        </w:rPr>
        <w:t xml:space="preserve"/>
      </w:r>
    </w:p>
    <w:p>
      <w:pPr>
        <w:spacing w:after="140" w:before="0" w:line="276"/>
      </w:pPr>
      <w:r>
        <w:rPr>
          <w:rFonts w:ascii="Calibri" w:cs="Calibri" w:eastAsia="Calibri" w:hAnsi="Calibri"/>
          <w:i/>
          <w:iCs/>
          <w:color w:val="5A6672"/>
          <w:sz w:val="19"/>
          <w:szCs w:val="19"/>
        </w:rPr>
        <w:t xml:space="preserve">Full findings, evidence citations and the complete NIST CSF 2.0 and ISO/IEC 27001:2022 control mapping are in the accompanying assessment report.</w:t>
      </w:r>
    </w:p>
    <w:sectPr>
      <w:headerReference w:type="default" r:id="rId7"/>
      <w:footerReference w:type="default" r:id="rId8"/>
      <w:pgSz w:w="11906" w:h="16838" w:orient="portrait"/>
      <w:pgMar w:top="1300" w:right="1300" w:bottom="1200" w:left="13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right"/>
    </w:pPr>
    <w:r>
      <w:rPr>
        <w:rFonts w:ascii="Calibri" w:cs="Calibri" w:eastAsia="Calibri" w:hAnsi="Calibri"/>
        <w:color w:val="5A6672"/>
        <w:sz w:val="15"/>
        <w:szCs w:val="15"/>
      </w:rPr>
      <w:t xml:space="preserve">Objektiv AI — Claude Opus 5 (Anthropic)   ·   </w:t>
    </w:r>
    <w:r>
      <w:rPr>
        <w:rFonts w:ascii="Calibri" w:cs="Calibri" w:eastAsia="Calibri" w:hAnsi="Calibri"/>
        <w:color w:val="5A6672"/>
        <w:sz w:val="15"/>
        <w:szCs w:val="15"/>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D3DBE0" w:sz="4"/>
      </w:pBdr>
      <w:spacing w:after="60"/>
    </w:pPr>
    <w:r>
      <w:rPr>
        <w:rFonts w:ascii="Calibri" w:cs="Calibri" w:eastAsia="Calibri" w:hAnsi="Calibri"/>
        <w:color w:val="5A6672"/>
        <w:sz w:val="15"/>
        <w:szCs w:val="15"/>
      </w:rPr>
      <w:t xml:space="preserve">Executive summary</w:t>
    </w:r>
    <w:r>
      <w:rPr>
        <w:rFonts w:ascii="Calibri" w:cs="Calibri" w:eastAsia="Calibri" w:hAnsi="Calibri"/>
        <w:b w:val="false"/>
        <w:bCs w:val="false"/>
        <w:color w:val="5A6672"/>
        <w:sz w:val="15"/>
        <w:szCs w:val="15"/>
      </w:rPr>
      <w:t xml:space="preserve">   ·   Public example — sanitised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31" w:hanging="273"/>
      </w:pPr>
    </w:lvl>
    <w:lvl w:ilvl="1" w15:tentative="1">
      <w:start w:val="1"/>
      <w:numFmt w:val="bullet"/>
      <w:lvlText w:val="◦"/>
      <w:lvlJc w:val="left"/>
      <w:pPr>
        <w:ind w:left="863" w:hanging="273"/>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Global Corp — Executive summary</dc:title>
  <dc:creator>Objektiv AI — Claude Opus 5 (Anthropic)</dc:creator>
  <dc:description>Global Corp — NIST CSF 2.0 and ISO/IEC 27001:2022 compliance assessment of the Cisco Meraki network estate</dc:description>
  <cp:lastModifiedBy>Un-named</cp:lastModifiedBy>
  <cp:revision>1</cp:revision>
  <dcterms:created xsi:type="dcterms:W3CDTF">2026-07-26T22:41:56.322Z</dcterms:created>
  <dcterms:modified xsi:type="dcterms:W3CDTF">2026-07-26T22:41:56.322Z</dcterms:modified>
</cp:coreProperties>
</file>

<file path=docProps/custom.xml><?xml version="1.0" encoding="utf-8"?>
<Properties xmlns="http://schemas.openxmlformats.org/officeDocument/2006/custom-properties" xmlns:vt="http://schemas.openxmlformats.org/officeDocument/2006/docPropsVTypes"/>
</file>